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AC8AD" w14:textId="77777777" w:rsidR="00A40E4D" w:rsidRPr="004E4D16" w:rsidRDefault="00000000">
      <w:pPr>
        <w:spacing w:after="40" w:line="276" w:lineRule="auto"/>
        <w:jc w:val="center"/>
        <w:rPr>
          <w:rFonts w:asciiTheme="majorHAnsi" w:hAnsiTheme="majorHAnsi" w:cstheme="majorHAnsi"/>
          <w:b/>
          <w:bCs/>
        </w:rPr>
      </w:pPr>
      <w:r w:rsidRPr="004E4D16">
        <w:rPr>
          <w:rFonts w:asciiTheme="majorHAnsi" w:hAnsiTheme="majorHAnsi" w:cstheme="majorHAnsi"/>
          <w:b/>
          <w:bCs/>
          <w:sz w:val="28"/>
        </w:rPr>
        <w:t>ANEXO 4. FICHA TÉCNICA Y CONTEXTO DEL RETO</w:t>
      </w:r>
    </w:p>
    <w:p w14:paraId="3A516F96" w14:textId="77777777" w:rsidR="00A40E4D" w:rsidRPr="004E4D16" w:rsidRDefault="00000000">
      <w:pPr>
        <w:spacing w:after="240" w:line="276" w:lineRule="auto"/>
        <w:jc w:val="center"/>
        <w:rPr>
          <w:rFonts w:asciiTheme="majorHAnsi" w:hAnsiTheme="majorHAnsi" w:cstheme="majorHAnsi"/>
          <w:b/>
          <w:bCs/>
        </w:rPr>
      </w:pPr>
      <w:r w:rsidRPr="004E4D16">
        <w:rPr>
          <w:rFonts w:asciiTheme="majorHAnsi" w:hAnsiTheme="majorHAnsi" w:cstheme="majorHAnsi"/>
          <w:b/>
          <w:bCs/>
        </w:rPr>
        <w:t>RETO DE INNOVACIÓN PÚBLICA “SEGURIDAD Y CONVIVENCIA EN LA MARISCAL”</w:t>
      </w:r>
    </w:p>
    <w:p w14:paraId="6132A60E"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i/>
          <w:iCs/>
          <w:sz w:val="22"/>
        </w:rPr>
        <w:t>Este anexo es informativo. Reúne los antecedentes, la evidencia y el proceso de construcción del Reto para facilitar la comprensión del desafío. No establece requisitos, criterios ni obligaciones adicionales. Las reglas de la convocatoria son las establecidas en las Bases; en caso de diferencia, prevalecen las Bases.</w:t>
      </w:r>
    </w:p>
    <w:p w14:paraId="6F195BBF" w14:textId="77777777" w:rsidR="00A40E4D" w:rsidRPr="004E4D16" w:rsidRDefault="00000000">
      <w:pPr>
        <w:keepNext/>
        <w:spacing w:after="120" w:line="276" w:lineRule="auto"/>
        <w:jc w:val="both"/>
        <w:rPr>
          <w:rFonts w:asciiTheme="majorHAnsi" w:hAnsiTheme="majorHAnsi" w:cstheme="majorHAnsi"/>
          <w:b/>
          <w:bCs/>
        </w:rPr>
      </w:pPr>
      <w:r w:rsidRPr="004E4D16">
        <w:rPr>
          <w:rFonts w:asciiTheme="majorHAnsi" w:hAnsiTheme="majorHAnsi" w:cstheme="majorHAnsi"/>
          <w:b/>
          <w:bCs/>
          <w:sz w:val="22"/>
        </w:rPr>
        <w:t>1. Ficha técnica del Reto</w:t>
      </w:r>
    </w:p>
    <w:tbl>
      <w:tblPr>
        <w:tblW w:w="867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4A0" w:firstRow="1" w:lastRow="0" w:firstColumn="1" w:lastColumn="0" w:noHBand="0" w:noVBand="1"/>
      </w:tblPr>
      <w:tblGrid>
        <w:gridCol w:w="2700"/>
        <w:gridCol w:w="5970"/>
      </w:tblGrid>
      <w:tr w:rsidR="00A40E4D" w:rsidRPr="004E4D16" w14:paraId="7873D0D1" w14:textId="77777777" w:rsidTr="47FF2E52">
        <w:trPr>
          <w:tblHeader/>
          <w:jc w:val="center"/>
        </w:trPr>
        <w:tc>
          <w:tcPr>
            <w:tcW w:w="2700" w:type="dxa"/>
            <w:shd w:val="clear" w:color="auto" w:fill="D9E2F3" w:themeFill="accent1" w:themeFillTint="33"/>
            <w:vAlign w:val="center"/>
          </w:tcPr>
          <w:p w14:paraId="3AE1A779" w14:textId="77777777" w:rsidR="00A40E4D" w:rsidRPr="004E4D16" w:rsidRDefault="00000000">
            <w:pPr>
              <w:spacing w:before="20" w:after="20"/>
              <w:jc w:val="center"/>
              <w:rPr>
                <w:rFonts w:asciiTheme="majorHAnsi" w:hAnsiTheme="majorHAnsi" w:cstheme="majorHAnsi"/>
                <w:sz w:val="20"/>
                <w:szCs w:val="20"/>
              </w:rPr>
            </w:pPr>
            <w:r w:rsidRPr="004E4D16">
              <w:rPr>
                <w:rFonts w:asciiTheme="majorHAnsi" w:hAnsiTheme="majorHAnsi" w:cstheme="majorHAnsi"/>
                <w:b/>
                <w:bCs/>
                <w:sz w:val="20"/>
                <w:szCs w:val="20"/>
              </w:rPr>
              <w:t>ELEMENTO</w:t>
            </w:r>
          </w:p>
        </w:tc>
        <w:tc>
          <w:tcPr>
            <w:tcW w:w="5970" w:type="dxa"/>
            <w:shd w:val="clear" w:color="auto" w:fill="D9E2F3" w:themeFill="accent1" w:themeFillTint="33"/>
            <w:vAlign w:val="center"/>
          </w:tcPr>
          <w:p w14:paraId="7DE294CF" w14:textId="77777777"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b/>
                <w:bCs/>
                <w:sz w:val="20"/>
                <w:szCs w:val="20"/>
              </w:rPr>
              <w:t>DESCRIPCIÓN</w:t>
            </w:r>
          </w:p>
        </w:tc>
      </w:tr>
      <w:tr w:rsidR="00A40E4D" w:rsidRPr="004E4D16" w14:paraId="1CC05A57" w14:textId="77777777" w:rsidTr="47FF2E52">
        <w:trPr>
          <w:trHeight w:val="510"/>
          <w:jc w:val="center"/>
        </w:trPr>
        <w:tc>
          <w:tcPr>
            <w:tcW w:w="2700" w:type="dxa"/>
            <w:vAlign w:val="center"/>
          </w:tcPr>
          <w:p w14:paraId="0E1ED971"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Nombre</w:t>
            </w:r>
          </w:p>
        </w:tc>
        <w:tc>
          <w:tcPr>
            <w:tcW w:w="5970" w:type="dxa"/>
            <w:vAlign w:val="center"/>
          </w:tcPr>
          <w:p w14:paraId="50886CBC" w14:textId="77777777"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Reto de Innovación Pública “Seguridad y Convivencia en La Mariscal”.</w:t>
            </w:r>
          </w:p>
        </w:tc>
      </w:tr>
      <w:tr w:rsidR="00A40E4D" w:rsidRPr="004E4D16" w14:paraId="69BC0FC6" w14:textId="77777777" w:rsidTr="47FF2E52">
        <w:trPr>
          <w:trHeight w:val="510"/>
          <w:jc w:val="center"/>
        </w:trPr>
        <w:tc>
          <w:tcPr>
            <w:tcW w:w="2700" w:type="dxa"/>
            <w:vAlign w:val="center"/>
          </w:tcPr>
          <w:p w14:paraId="1A56809E"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Entidad convocante</w:t>
            </w:r>
          </w:p>
        </w:tc>
        <w:tc>
          <w:tcPr>
            <w:tcW w:w="5970" w:type="dxa"/>
            <w:vAlign w:val="center"/>
          </w:tcPr>
          <w:p w14:paraId="0390EC0B" w14:textId="77777777"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Corporación de Promoción Económica CONQUITO, a través del Centro de Innovación de Quito IQ.</w:t>
            </w:r>
          </w:p>
        </w:tc>
      </w:tr>
      <w:tr w:rsidR="00A40E4D" w:rsidRPr="004E4D16" w14:paraId="3BB35FA1" w14:textId="77777777" w:rsidTr="47FF2E52">
        <w:trPr>
          <w:trHeight w:val="510"/>
          <w:jc w:val="center"/>
        </w:trPr>
        <w:tc>
          <w:tcPr>
            <w:tcW w:w="2700" w:type="dxa"/>
            <w:vAlign w:val="center"/>
          </w:tcPr>
          <w:p w14:paraId="6EB61E75"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Instituciones articuladas</w:t>
            </w:r>
          </w:p>
        </w:tc>
        <w:tc>
          <w:tcPr>
            <w:tcW w:w="5970" w:type="dxa"/>
            <w:vAlign w:val="center"/>
          </w:tcPr>
          <w:p w14:paraId="5BBB4E30" w14:textId="77777777"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Secretaría General de Seguridad Ciudadana y Gestión de Riesgos, Administración Zonal La Mariscal y Alianza para el Emprendimiento e Innovación (AEI).</w:t>
            </w:r>
          </w:p>
        </w:tc>
      </w:tr>
      <w:tr w:rsidR="00A40E4D" w:rsidRPr="004E4D16" w14:paraId="5DA3B599" w14:textId="77777777" w:rsidTr="47FF2E52">
        <w:trPr>
          <w:trHeight w:val="510"/>
          <w:jc w:val="center"/>
        </w:trPr>
        <w:tc>
          <w:tcPr>
            <w:tcW w:w="2700" w:type="dxa"/>
            <w:vAlign w:val="center"/>
          </w:tcPr>
          <w:p w14:paraId="6B68754F"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Territorio</w:t>
            </w:r>
          </w:p>
        </w:tc>
        <w:tc>
          <w:tcPr>
            <w:tcW w:w="5970" w:type="dxa"/>
            <w:vAlign w:val="center"/>
          </w:tcPr>
          <w:p w14:paraId="21693F07" w14:textId="77777777"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La Mariscal, Distrito Metropolitano de Quito.</w:t>
            </w:r>
          </w:p>
        </w:tc>
      </w:tr>
      <w:tr w:rsidR="00A40E4D" w:rsidRPr="004E4D16" w14:paraId="4CC8050F" w14:textId="77777777" w:rsidTr="47FF2E52">
        <w:trPr>
          <w:trHeight w:val="510"/>
          <w:jc w:val="center"/>
        </w:trPr>
        <w:tc>
          <w:tcPr>
            <w:tcW w:w="2700" w:type="dxa"/>
            <w:vAlign w:val="center"/>
          </w:tcPr>
          <w:p w14:paraId="6C7AA86A"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Pregunta del desafío</w:t>
            </w:r>
          </w:p>
        </w:tc>
        <w:tc>
          <w:tcPr>
            <w:tcW w:w="5970" w:type="dxa"/>
            <w:vAlign w:val="center"/>
          </w:tcPr>
          <w:p w14:paraId="389BD1AF" w14:textId="6F2FA278" w:rsidR="00A40E4D" w:rsidRPr="004E4D16" w:rsidRDefault="4F6282E4" w:rsidP="46A40AC4">
            <w:pPr>
              <w:spacing w:before="20" w:line="276" w:lineRule="auto"/>
              <w:jc w:val="both"/>
              <w:rPr>
                <w:rFonts w:asciiTheme="majorHAnsi" w:hAnsiTheme="majorHAnsi" w:cstheme="majorHAnsi"/>
                <w:sz w:val="20"/>
                <w:szCs w:val="20"/>
              </w:rPr>
            </w:pPr>
            <w:r w:rsidRPr="004E4D16">
              <w:rPr>
                <w:rFonts w:asciiTheme="majorHAnsi" w:eastAsiaTheme="minorEastAsia" w:hAnsiTheme="majorHAnsi" w:cstheme="majorHAnsi"/>
                <w:sz w:val="20"/>
                <w:szCs w:val="20"/>
              </w:rPr>
              <w:t>¿Cómo podríamos contribuir a que las personas usen, permanezcan y circulen con mayor confianza en La Mariscal, especialmente en los espacios y horarios que hoy evitan, mejorando las condiciones del espacio público, articulando las capacidades existentes en el territorio y acercando la respuesta pública a su experiencia cotidiana?</w:t>
            </w:r>
          </w:p>
        </w:tc>
      </w:tr>
      <w:tr w:rsidR="00A40E4D" w:rsidRPr="004E4D16" w14:paraId="32417A3E" w14:textId="77777777" w:rsidTr="47FF2E52">
        <w:trPr>
          <w:trHeight w:val="510"/>
          <w:jc w:val="center"/>
        </w:trPr>
        <w:tc>
          <w:tcPr>
            <w:tcW w:w="2700" w:type="dxa"/>
            <w:vAlign w:val="center"/>
          </w:tcPr>
          <w:p w14:paraId="3076EC2A"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Líneas de búsqueda de soluciones</w:t>
            </w:r>
          </w:p>
        </w:tc>
        <w:tc>
          <w:tcPr>
            <w:tcW w:w="5970" w:type="dxa"/>
            <w:vAlign w:val="center"/>
          </w:tcPr>
          <w:p w14:paraId="03914810" w14:textId="77777777" w:rsidR="007B42DC" w:rsidRPr="004E4D16" w:rsidRDefault="00000000" w:rsidP="007B42DC">
            <w:pPr>
              <w:pStyle w:val="Prrafodelista"/>
              <w:numPr>
                <w:ilvl w:val="0"/>
                <w:numId w:val="49"/>
              </w:num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 xml:space="preserve">Línea 1. Apropiación y uso del espacio público. </w:t>
            </w:r>
          </w:p>
          <w:p w14:paraId="0DBB357F" w14:textId="77777777" w:rsidR="007B42DC" w:rsidRPr="004E4D16" w:rsidRDefault="00000000" w:rsidP="007B42DC">
            <w:pPr>
              <w:pStyle w:val="Prrafodelista"/>
              <w:numPr>
                <w:ilvl w:val="0"/>
                <w:numId w:val="49"/>
              </w:num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 xml:space="preserve">Línea 2. Conexión entre la respuesta pública y la experiencia ciudadana. </w:t>
            </w:r>
          </w:p>
          <w:p w14:paraId="5D4EC752" w14:textId="2FA2A5B1"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Las propuestas pueden concentrarse en una línea o articular elementos de ambas.</w:t>
            </w:r>
          </w:p>
        </w:tc>
      </w:tr>
      <w:tr w:rsidR="00A40E4D" w:rsidRPr="004E4D16" w14:paraId="29C9BC2D" w14:textId="77777777" w:rsidTr="47FF2E52">
        <w:trPr>
          <w:trHeight w:val="510"/>
          <w:jc w:val="center"/>
        </w:trPr>
        <w:tc>
          <w:tcPr>
            <w:tcW w:w="2700" w:type="dxa"/>
            <w:vAlign w:val="center"/>
          </w:tcPr>
          <w:p w14:paraId="14FB741E"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Personas usuarias</w:t>
            </w:r>
          </w:p>
        </w:tc>
        <w:tc>
          <w:tcPr>
            <w:tcW w:w="5970" w:type="dxa"/>
            <w:vAlign w:val="center"/>
          </w:tcPr>
          <w:p w14:paraId="0DA26357" w14:textId="77777777"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Personas que habitan, trabajan, estudian, desarrollan actividades económicas, transitan o permanecen temporalmente en el territorio de La Mariscal. Cada propuesta debe identificar con claridad las personas usuarias vinculadas con la situación que busca abordar.</w:t>
            </w:r>
          </w:p>
        </w:tc>
      </w:tr>
      <w:tr w:rsidR="00A40E4D" w:rsidRPr="004E4D16" w14:paraId="094EFDEA" w14:textId="77777777" w:rsidTr="47FF2E52">
        <w:trPr>
          <w:trHeight w:val="510"/>
          <w:jc w:val="center"/>
        </w:trPr>
        <w:tc>
          <w:tcPr>
            <w:tcW w:w="2700" w:type="dxa"/>
            <w:vAlign w:val="center"/>
          </w:tcPr>
          <w:p w14:paraId="3B44CD56"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Tipo de soluciones</w:t>
            </w:r>
          </w:p>
        </w:tc>
        <w:tc>
          <w:tcPr>
            <w:tcW w:w="5970" w:type="dxa"/>
            <w:vAlign w:val="center"/>
          </w:tcPr>
          <w:p w14:paraId="59861E8D" w14:textId="77777777"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Servicios, mecanismos, experiencias, intervenciones, modelos, herramientas, tecnologías, procesos, activaciones u otras alternativas, de manera individual o combinada. No se predetermina un tipo de solución y la incorporación de tecnología no es un requisito.</w:t>
            </w:r>
          </w:p>
        </w:tc>
      </w:tr>
      <w:tr w:rsidR="00A40E4D" w:rsidRPr="004E4D16" w14:paraId="5A80BEFA" w14:textId="77777777" w:rsidTr="47FF2E52">
        <w:trPr>
          <w:trHeight w:val="510"/>
          <w:jc w:val="center"/>
        </w:trPr>
        <w:tc>
          <w:tcPr>
            <w:tcW w:w="2700" w:type="dxa"/>
            <w:vAlign w:val="center"/>
          </w:tcPr>
          <w:p w14:paraId="366FA2B2"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Nivel de desarrollo admitido</w:t>
            </w:r>
          </w:p>
        </w:tc>
        <w:tc>
          <w:tcPr>
            <w:tcW w:w="5970" w:type="dxa"/>
            <w:vAlign w:val="center"/>
          </w:tcPr>
          <w:p w14:paraId="49715C33" w14:textId="77777777" w:rsidR="007B42DC" w:rsidRPr="004E4D16" w:rsidRDefault="00000000" w:rsidP="007B42DC">
            <w:pPr>
              <w:pStyle w:val="Prrafodelista"/>
              <w:numPr>
                <w:ilvl w:val="0"/>
                <w:numId w:val="50"/>
              </w:num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 xml:space="preserve">Nivel 1. Solución definida o en desarrollo. </w:t>
            </w:r>
          </w:p>
          <w:p w14:paraId="7B47C8A7" w14:textId="77777777" w:rsidR="007B42DC" w:rsidRPr="004E4D16" w:rsidRDefault="00000000" w:rsidP="007B42DC">
            <w:pPr>
              <w:pStyle w:val="Prrafodelista"/>
              <w:numPr>
                <w:ilvl w:val="0"/>
                <w:numId w:val="50"/>
              </w:num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 xml:space="preserve">Nivel 2. Prototipo o solución probada. </w:t>
            </w:r>
          </w:p>
          <w:p w14:paraId="1F06116A" w14:textId="77777777" w:rsidR="007B42DC" w:rsidRPr="004E4D16" w:rsidRDefault="00000000" w:rsidP="007B42DC">
            <w:pPr>
              <w:pStyle w:val="Prrafodelista"/>
              <w:numPr>
                <w:ilvl w:val="0"/>
                <w:numId w:val="50"/>
              </w:num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 xml:space="preserve">Nivel 3. Solución validada en contexto. </w:t>
            </w:r>
          </w:p>
          <w:p w14:paraId="73C15257" w14:textId="0BE9AFB3"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No se admiten propuestas en fase de ideación temprana. El nivel no representa, por sí mismo, una ventaja o desventaja en la evaluación.</w:t>
            </w:r>
          </w:p>
        </w:tc>
      </w:tr>
      <w:tr w:rsidR="00A40E4D" w:rsidRPr="004E4D16" w14:paraId="612F682A" w14:textId="77777777" w:rsidTr="47FF2E52">
        <w:trPr>
          <w:trHeight w:val="510"/>
          <w:jc w:val="center"/>
        </w:trPr>
        <w:tc>
          <w:tcPr>
            <w:tcW w:w="2700" w:type="dxa"/>
            <w:vAlign w:val="center"/>
          </w:tcPr>
          <w:p w14:paraId="182B61E7"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Etapas</w:t>
            </w:r>
          </w:p>
        </w:tc>
        <w:tc>
          <w:tcPr>
            <w:tcW w:w="5970" w:type="dxa"/>
            <w:vAlign w:val="center"/>
          </w:tcPr>
          <w:p w14:paraId="53EF86AE" w14:textId="465CF8AE" w:rsidR="00464375"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Convocatoria abierta</w:t>
            </w:r>
            <w:r w:rsidR="00464375" w:rsidRPr="004E4D16">
              <w:rPr>
                <w:rFonts w:asciiTheme="majorHAnsi" w:hAnsiTheme="majorHAnsi" w:cstheme="majorHAnsi"/>
                <w:sz w:val="20"/>
                <w:szCs w:val="20"/>
              </w:rPr>
              <w:t xml:space="preserve"> y recepción de postulaciones</w:t>
            </w:r>
            <w:r w:rsidRPr="004E4D16">
              <w:rPr>
                <w:rFonts w:asciiTheme="majorHAnsi" w:hAnsiTheme="majorHAnsi" w:cstheme="majorHAnsi"/>
                <w:sz w:val="20"/>
                <w:szCs w:val="20"/>
              </w:rPr>
              <w:t xml:space="preserve">; evaluación y preselección; </w:t>
            </w:r>
            <w:r w:rsidR="00464375" w:rsidRPr="004E4D16">
              <w:rPr>
                <w:rFonts w:asciiTheme="majorHAnsi" w:hAnsiTheme="majorHAnsi" w:cstheme="majorHAnsi"/>
                <w:sz w:val="20"/>
                <w:szCs w:val="20"/>
              </w:rPr>
              <w:t xml:space="preserve">Sesión virtual preparatoria; </w:t>
            </w:r>
            <w:proofErr w:type="spellStart"/>
            <w:r w:rsidRPr="004E4D16">
              <w:rPr>
                <w:rFonts w:asciiTheme="majorHAnsi" w:hAnsiTheme="majorHAnsi" w:cstheme="majorHAnsi"/>
                <w:sz w:val="20"/>
                <w:szCs w:val="20"/>
              </w:rPr>
              <w:t>Bootcamp</w:t>
            </w:r>
            <w:proofErr w:type="spellEnd"/>
            <w:r w:rsidRPr="004E4D16">
              <w:rPr>
                <w:rFonts w:asciiTheme="majorHAnsi" w:hAnsiTheme="majorHAnsi" w:cstheme="majorHAnsi"/>
                <w:sz w:val="20"/>
                <w:szCs w:val="20"/>
              </w:rPr>
              <w:t xml:space="preserve">; selección de hasta tres finalistas; Sprint de Validación Institucional; y selección de la solución ganadora en el Demo Day. </w:t>
            </w:r>
          </w:p>
          <w:p w14:paraId="53578FAB" w14:textId="55CA7B78"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Sujetas a la procedencia del piloto: eventual diseño y ejecución del piloto, evaluación de resultados y decisión institucional.</w:t>
            </w:r>
          </w:p>
        </w:tc>
      </w:tr>
      <w:tr w:rsidR="00A40E4D" w:rsidRPr="004E4D16" w14:paraId="4CE87F81" w14:textId="77777777" w:rsidTr="47FF2E52">
        <w:trPr>
          <w:trHeight w:val="510"/>
          <w:jc w:val="center"/>
        </w:trPr>
        <w:tc>
          <w:tcPr>
            <w:tcW w:w="2700" w:type="dxa"/>
            <w:vAlign w:val="center"/>
          </w:tcPr>
          <w:p w14:paraId="72BBF350"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Equipos por etapa</w:t>
            </w:r>
          </w:p>
        </w:tc>
        <w:tc>
          <w:tcPr>
            <w:tcW w:w="5970" w:type="dxa"/>
            <w:vAlign w:val="center"/>
          </w:tcPr>
          <w:p w14:paraId="2F723F05" w14:textId="77777777"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 xml:space="preserve">Hasta ocho (8) equipos preseleccionados para el </w:t>
            </w:r>
            <w:proofErr w:type="spellStart"/>
            <w:r w:rsidRPr="004E4D16">
              <w:rPr>
                <w:rFonts w:asciiTheme="majorHAnsi" w:hAnsiTheme="majorHAnsi" w:cstheme="majorHAnsi"/>
                <w:sz w:val="20"/>
                <w:szCs w:val="20"/>
              </w:rPr>
              <w:t>Bootcamp</w:t>
            </w:r>
            <w:proofErr w:type="spellEnd"/>
            <w:r w:rsidRPr="004E4D16">
              <w:rPr>
                <w:rFonts w:asciiTheme="majorHAnsi" w:hAnsiTheme="majorHAnsi" w:cstheme="majorHAnsi"/>
                <w:sz w:val="20"/>
                <w:szCs w:val="20"/>
              </w:rPr>
              <w:t>; hasta tres (3) soluciones finalistas; y una (1) solución ganadora, siempre que alguna solución finalista cumpla las condiciones establecidas en las Bases.</w:t>
            </w:r>
          </w:p>
        </w:tc>
      </w:tr>
      <w:tr w:rsidR="00A40E4D" w:rsidRPr="004E4D16" w14:paraId="13E6D297" w14:textId="77777777" w:rsidTr="47FF2E52">
        <w:trPr>
          <w:trHeight w:val="510"/>
          <w:jc w:val="center"/>
        </w:trPr>
        <w:tc>
          <w:tcPr>
            <w:tcW w:w="2700" w:type="dxa"/>
            <w:vAlign w:val="center"/>
          </w:tcPr>
          <w:p w14:paraId="0E7045CB"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lastRenderedPageBreak/>
              <w:t>Incentivos y recursos</w:t>
            </w:r>
          </w:p>
        </w:tc>
        <w:tc>
          <w:tcPr>
            <w:tcW w:w="5970" w:type="dxa"/>
            <w:vAlign w:val="center"/>
          </w:tcPr>
          <w:p w14:paraId="04322CA1" w14:textId="6F511E61" w:rsidR="00A40E4D" w:rsidRPr="004E4D16" w:rsidRDefault="49D590D6"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A</w:t>
            </w:r>
            <w:r w:rsidR="4024C3BA" w:rsidRPr="004E4D16">
              <w:rPr>
                <w:rFonts w:asciiTheme="majorHAnsi" w:hAnsiTheme="majorHAnsi" w:cstheme="majorHAnsi"/>
                <w:sz w:val="20"/>
                <w:szCs w:val="20"/>
              </w:rPr>
              <w:t>lianza para el Emprendimiento y la Innovación - AEI</w:t>
            </w:r>
            <w:r w:rsidRPr="004E4D16">
              <w:rPr>
                <w:rFonts w:asciiTheme="majorHAnsi" w:hAnsiTheme="majorHAnsi" w:cstheme="majorHAnsi"/>
                <w:sz w:val="20"/>
                <w:szCs w:val="20"/>
              </w:rPr>
              <w:t xml:space="preserve"> ha previsto un aporte de hasta USD 2.500,00, sujeto a su disponibilidad efectiva y a su formalización por parte de </w:t>
            </w:r>
            <w:r w:rsidR="18EA95DB" w:rsidRPr="004E4D16">
              <w:rPr>
                <w:rFonts w:asciiTheme="majorHAnsi" w:hAnsiTheme="majorHAnsi" w:cstheme="majorHAnsi"/>
                <w:sz w:val="20"/>
                <w:szCs w:val="20"/>
              </w:rPr>
              <w:t>AEI</w:t>
            </w:r>
            <w:r w:rsidRPr="004E4D16">
              <w:rPr>
                <w:rFonts w:asciiTheme="majorHAnsi" w:hAnsiTheme="majorHAnsi" w:cstheme="majorHAnsi"/>
                <w:sz w:val="20"/>
                <w:szCs w:val="20"/>
              </w:rPr>
              <w:t>. De concretarse por el monto máximo previsto: USD 1.000,00 de incentivo económico al equipo ganador, cuya entrega no depende de que el piloto se ejecute; y USD 1.500,00 destinados exclusivamente al eventual piloto, que solo se asignarán si este resulta procedente y se formalizan las condiciones para su ejecución (numeral 10.1 de las Bases).</w:t>
            </w:r>
          </w:p>
        </w:tc>
      </w:tr>
      <w:tr w:rsidR="00A40E4D" w:rsidRPr="004E4D16" w14:paraId="7C2C3A85" w14:textId="77777777" w:rsidTr="47FF2E52">
        <w:trPr>
          <w:trHeight w:val="510"/>
          <w:jc w:val="center"/>
        </w:trPr>
        <w:tc>
          <w:tcPr>
            <w:tcW w:w="2700" w:type="dxa"/>
            <w:vAlign w:val="center"/>
          </w:tcPr>
          <w:p w14:paraId="1929A3E1" w14:textId="77777777" w:rsidR="00A40E4D" w:rsidRPr="004E4D16" w:rsidRDefault="00000000">
            <w:pPr>
              <w:spacing w:before="20" w:after="20"/>
              <w:rPr>
                <w:rFonts w:asciiTheme="majorHAnsi" w:hAnsiTheme="majorHAnsi" w:cstheme="majorHAnsi"/>
                <w:sz w:val="20"/>
                <w:szCs w:val="20"/>
              </w:rPr>
            </w:pPr>
            <w:r w:rsidRPr="004E4D16">
              <w:rPr>
                <w:rFonts w:asciiTheme="majorHAnsi" w:hAnsiTheme="majorHAnsi" w:cstheme="majorHAnsi"/>
                <w:b/>
                <w:bCs/>
                <w:sz w:val="20"/>
                <w:szCs w:val="20"/>
              </w:rPr>
              <w:t>Resultado esperado</w:t>
            </w:r>
          </w:p>
        </w:tc>
        <w:tc>
          <w:tcPr>
            <w:tcW w:w="5970" w:type="dxa"/>
            <w:vAlign w:val="center"/>
          </w:tcPr>
          <w:p w14:paraId="6D80AAFA" w14:textId="77777777" w:rsidR="00A40E4D" w:rsidRPr="004E4D16" w:rsidRDefault="00000000" w:rsidP="007B42DC">
            <w:pPr>
              <w:spacing w:before="20" w:after="20"/>
              <w:jc w:val="both"/>
              <w:rPr>
                <w:rFonts w:asciiTheme="majorHAnsi" w:hAnsiTheme="majorHAnsi" w:cstheme="majorHAnsi"/>
                <w:sz w:val="20"/>
                <w:szCs w:val="20"/>
              </w:rPr>
            </w:pPr>
            <w:r w:rsidRPr="004E4D16">
              <w:rPr>
                <w:rFonts w:asciiTheme="majorHAnsi" w:hAnsiTheme="majorHAnsi" w:cstheme="majorHAnsi"/>
                <w:sz w:val="20"/>
                <w:szCs w:val="20"/>
              </w:rPr>
              <w:t>Soluciones fortalecidas, con evidencia y aprendizajes sobre su funcionamiento y sobre las condiciones requeridas para una eventual experimentación en La Mariscal, que aporten a decisiones institucionales posteriores.</w:t>
            </w:r>
          </w:p>
        </w:tc>
      </w:tr>
    </w:tbl>
    <w:p w14:paraId="47CDEA57" w14:textId="77777777" w:rsidR="00A40E4D" w:rsidRPr="004E4D16" w:rsidRDefault="00A40E4D">
      <w:pPr>
        <w:spacing w:after="120" w:line="276" w:lineRule="auto"/>
        <w:jc w:val="both"/>
        <w:rPr>
          <w:rFonts w:asciiTheme="majorHAnsi" w:hAnsiTheme="majorHAnsi" w:cstheme="majorHAnsi"/>
          <w:b/>
          <w:bCs/>
        </w:rPr>
      </w:pPr>
    </w:p>
    <w:p w14:paraId="41A3E658" w14:textId="77777777" w:rsidR="00A40E4D" w:rsidRPr="004E4D16" w:rsidRDefault="00000000">
      <w:pPr>
        <w:keepNext/>
        <w:spacing w:after="120" w:line="276" w:lineRule="auto"/>
        <w:jc w:val="both"/>
        <w:rPr>
          <w:rFonts w:asciiTheme="majorHAnsi" w:hAnsiTheme="majorHAnsi" w:cstheme="majorHAnsi"/>
          <w:b/>
          <w:bCs/>
        </w:rPr>
      </w:pPr>
      <w:r w:rsidRPr="004E4D16">
        <w:rPr>
          <w:rFonts w:asciiTheme="majorHAnsi" w:hAnsiTheme="majorHAnsi" w:cstheme="majorHAnsi"/>
          <w:b/>
          <w:bCs/>
          <w:sz w:val="22"/>
        </w:rPr>
        <w:t>2. Antecedentes del Reto</w:t>
      </w:r>
    </w:p>
    <w:p w14:paraId="47C89689"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La Mariscal es un territorio de usos múltiples: en él conviven residentes, trabajadores, estudiantes, visitantes, comerciantes, establecimientos, instituciones y organizaciones. La experiencia del territorio cambia según el horario, el tipo de actividad y la intensidad de uso, y en las franjas de mayor actividad confluyen personas con necesidades distintas.</w:t>
      </w:r>
    </w:p>
    <w:p w14:paraId="7543D411"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Esta diversidad es propia del territorio y no constituye, por sí misma, un problema. Sin embargo, determinadas condiciones en que convergen los usos influyen en la forma en que las personas perciben, utilizan y experimentan el espacio público en ciertos lugares y horarios. Por ello, el Reto no se explica únicamente por la ocurrencia de delitos: considera también las condiciones del entorno, las dinámicas territoriales y horarias, y la manera en que las personas interpretan las señales del entorno y ajustan sus rutinas.</w:t>
      </w:r>
    </w:p>
    <w:p w14:paraId="462B8943"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Entre 2025 y 2026 se ejecutó el Plan de Intervención y Recuperación de La Mariscal. Su evaluación anual, que compara la línea base de febrero de 2025 con la medición de marzo de 2026, fue una de las fuentes principales para delimitar el Reto. La siguiente tabla resume los indicadores considerados:</w:t>
      </w:r>
    </w:p>
    <w:tbl>
      <w:tblPr>
        <w:tblW w:w="867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4A0" w:firstRow="1" w:lastRow="0" w:firstColumn="1" w:lastColumn="0" w:noHBand="0" w:noVBand="1"/>
      </w:tblPr>
      <w:tblGrid>
        <w:gridCol w:w="5670"/>
        <w:gridCol w:w="1500"/>
        <w:gridCol w:w="1500"/>
      </w:tblGrid>
      <w:tr w:rsidR="00A40E4D" w:rsidRPr="004E4D16" w14:paraId="4FEC48D6" w14:textId="77777777">
        <w:trPr>
          <w:tblHeader/>
          <w:jc w:val="center"/>
        </w:trPr>
        <w:tc>
          <w:tcPr>
            <w:tcW w:w="5670" w:type="dxa"/>
            <w:shd w:val="clear" w:color="auto" w:fill="D9E2F3"/>
            <w:vAlign w:val="center"/>
          </w:tcPr>
          <w:p w14:paraId="0F3D9733" w14:textId="77777777" w:rsidR="00A40E4D" w:rsidRPr="004E4D16" w:rsidRDefault="00000000">
            <w:pPr>
              <w:spacing w:before="20" w:after="20"/>
              <w:jc w:val="center"/>
              <w:rPr>
                <w:rFonts w:asciiTheme="majorHAnsi" w:hAnsiTheme="majorHAnsi" w:cstheme="majorHAnsi"/>
              </w:rPr>
            </w:pPr>
            <w:r w:rsidRPr="004E4D16">
              <w:rPr>
                <w:rFonts w:asciiTheme="majorHAnsi" w:hAnsiTheme="majorHAnsi" w:cstheme="majorHAnsi"/>
                <w:b/>
                <w:bCs/>
                <w:sz w:val="19"/>
                <w:szCs w:val="19"/>
              </w:rPr>
              <w:t>INDICADOR (% de personas o locales encuestados)</w:t>
            </w:r>
          </w:p>
        </w:tc>
        <w:tc>
          <w:tcPr>
            <w:tcW w:w="1500" w:type="dxa"/>
            <w:shd w:val="clear" w:color="auto" w:fill="D9E2F3"/>
            <w:vAlign w:val="center"/>
          </w:tcPr>
          <w:p w14:paraId="48DE3A6C" w14:textId="77777777" w:rsidR="00A40E4D" w:rsidRPr="004E4D16" w:rsidRDefault="00000000">
            <w:pPr>
              <w:spacing w:before="20" w:after="20"/>
              <w:jc w:val="center"/>
              <w:rPr>
                <w:rFonts w:asciiTheme="majorHAnsi" w:hAnsiTheme="majorHAnsi" w:cstheme="majorHAnsi"/>
              </w:rPr>
            </w:pPr>
            <w:r w:rsidRPr="004E4D16">
              <w:rPr>
                <w:rFonts w:asciiTheme="majorHAnsi" w:hAnsiTheme="majorHAnsi" w:cstheme="majorHAnsi"/>
                <w:b/>
                <w:bCs/>
                <w:sz w:val="19"/>
                <w:szCs w:val="19"/>
              </w:rPr>
              <w:t>FEB. 2025</w:t>
            </w:r>
          </w:p>
        </w:tc>
        <w:tc>
          <w:tcPr>
            <w:tcW w:w="1500" w:type="dxa"/>
            <w:shd w:val="clear" w:color="auto" w:fill="D9E2F3"/>
            <w:vAlign w:val="center"/>
          </w:tcPr>
          <w:p w14:paraId="1074123C" w14:textId="77777777" w:rsidR="00A40E4D" w:rsidRPr="004E4D16" w:rsidRDefault="00000000">
            <w:pPr>
              <w:spacing w:before="20" w:after="20"/>
              <w:jc w:val="center"/>
              <w:rPr>
                <w:rFonts w:asciiTheme="majorHAnsi" w:hAnsiTheme="majorHAnsi" w:cstheme="majorHAnsi"/>
              </w:rPr>
            </w:pPr>
            <w:r w:rsidRPr="004E4D16">
              <w:rPr>
                <w:rFonts w:asciiTheme="majorHAnsi" w:hAnsiTheme="majorHAnsi" w:cstheme="majorHAnsi"/>
                <w:b/>
                <w:bCs/>
                <w:sz w:val="19"/>
                <w:szCs w:val="19"/>
              </w:rPr>
              <w:t>MAR. 2026</w:t>
            </w:r>
          </w:p>
        </w:tc>
      </w:tr>
      <w:tr w:rsidR="00A40E4D" w:rsidRPr="004E4D16" w14:paraId="378222A3" w14:textId="77777777">
        <w:trPr>
          <w:trHeight w:val="510"/>
          <w:jc w:val="center"/>
        </w:trPr>
        <w:tc>
          <w:tcPr>
            <w:tcW w:w="5670" w:type="dxa"/>
            <w:vAlign w:val="center"/>
          </w:tcPr>
          <w:p w14:paraId="36B306B2"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Victimización en los últimos 12 meses – población flotante</w:t>
            </w:r>
          </w:p>
        </w:tc>
        <w:tc>
          <w:tcPr>
            <w:tcW w:w="1500" w:type="dxa"/>
            <w:vAlign w:val="center"/>
          </w:tcPr>
          <w:p w14:paraId="0D14A30C"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20,51 %</w:t>
            </w:r>
          </w:p>
        </w:tc>
        <w:tc>
          <w:tcPr>
            <w:tcW w:w="1500" w:type="dxa"/>
            <w:vAlign w:val="center"/>
          </w:tcPr>
          <w:p w14:paraId="6BBFC8AA"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10,83 %</w:t>
            </w:r>
          </w:p>
        </w:tc>
      </w:tr>
      <w:tr w:rsidR="00A40E4D" w:rsidRPr="004E4D16" w14:paraId="52A394DB" w14:textId="77777777">
        <w:trPr>
          <w:trHeight w:val="510"/>
          <w:jc w:val="center"/>
        </w:trPr>
        <w:tc>
          <w:tcPr>
            <w:tcW w:w="5670" w:type="dxa"/>
            <w:vAlign w:val="center"/>
          </w:tcPr>
          <w:p w14:paraId="16778AE1"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Victimización en los últimos 12 meses – locales comerciales</w:t>
            </w:r>
          </w:p>
        </w:tc>
        <w:tc>
          <w:tcPr>
            <w:tcW w:w="1500" w:type="dxa"/>
            <w:vAlign w:val="center"/>
          </w:tcPr>
          <w:p w14:paraId="03178E0B"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20,97 %</w:t>
            </w:r>
          </w:p>
        </w:tc>
        <w:tc>
          <w:tcPr>
            <w:tcW w:w="1500" w:type="dxa"/>
            <w:vAlign w:val="center"/>
          </w:tcPr>
          <w:p w14:paraId="39B0E73B"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17,74 %</w:t>
            </w:r>
          </w:p>
        </w:tc>
      </w:tr>
      <w:tr w:rsidR="00A40E4D" w:rsidRPr="004E4D16" w14:paraId="0BD7F292" w14:textId="77777777">
        <w:trPr>
          <w:trHeight w:val="510"/>
          <w:jc w:val="center"/>
        </w:trPr>
        <w:tc>
          <w:tcPr>
            <w:tcW w:w="5670" w:type="dxa"/>
            <w:vAlign w:val="center"/>
          </w:tcPr>
          <w:p w14:paraId="68927EE8"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Percepción de inseguridad en el sector – población flotante</w:t>
            </w:r>
          </w:p>
        </w:tc>
        <w:tc>
          <w:tcPr>
            <w:tcW w:w="1500" w:type="dxa"/>
            <w:vAlign w:val="center"/>
          </w:tcPr>
          <w:p w14:paraId="571B72F4"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69,23 %</w:t>
            </w:r>
          </w:p>
        </w:tc>
        <w:tc>
          <w:tcPr>
            <w:tcW w:w="1500" w:type="dxa"/>
            <w:vAlign w:val="center"/>
          </w:tcPr>
          <w:p w14:paraId="5315F154"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63,33 %</w:t>
            </w:r>
          </w:p>
        </w:tc>
      </w:tr>
      <w:tr w:rsidR="00A40E4D" w:rsidRPr="004E4D16" w14:paraId="59037DBA" w14:textId="77777777">
        <w:trPr>
          <w:trHeight w:val="510"/>
          <w:jc w:val="center"/>
        </w:trPr>
        <w:tc>
          <w:tcPr>
            <w:tcW w:w="5670" w:type="dxa"/>
            <w:vAlign w:val="center"/>
          </w:tcPr>
          <w:p w14:paraId="7681705A"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Percepción de inseguridad en el sector – locales comerciales</w:t>
            </w:r>
          </w:p>
        </w:tc>
        <w:tc>
          <w:tcPr>
            <w:tcW w:w="1500" w:type="dxa"/>
            <w:vAlign w:val="center"/>
          </w:tcPr>
          <w:p w14:paraId="5EC01811"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70,97 %</w:t>
            </w:r>
          </w:p>
        </w:tc>
        <w:tc>
          <w:tcPr>
            <w:tcW w:w="1500" w:type="dxa"/>
            <w:vAlign w:val="center"/>
          </w:tcPr>
          <w:p w14:paraId="0A682942"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48,39 %</w:t>
            </w:r>
          </w:p>
        </w:tc>
      </w:tr>
      <w:tr w:rsidR="00A40E4D" w:rsidRPr="004E4D16" w14:paraId="4C73A26A" w14:textId="77777777">
        <w:trPr>
          <w:trHeight w:val="510"/>
          <w:jc w:val="center"/>
        </w:trPr>
        <w:tc>
          <w:tcPr>
            <w:tcW w:w="5670" w:type="dxa"/>
            <w:vAlign w:val="center"/>
          </w:tcPr>
          <w:p w14:paraId="75FB1D9C"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Percepción de inseguridad al caminar solo/a de noche en el sector – población flotante</w:t>
            </w:r>
          </w:p>
        </w:tc>
        <w:tc>
          <w:tcPr>
            <w:tcW w:w="1500" w:type="dxa"/>
            <w:vAlign w:val="center"/>
          </w:tcPr>
          <w:p w14:paraId="3DABF018"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80,13 %</w:t>
            </w:r>
          </w:p>
        </w:tc>
        <w:tc>
          <w:tcPr>
            <w:tcW w:w="1500" w:type="dxa"/>
            <w:vAlign w:val="center"/>
          </w:tcPr>
          <w:p w14:paraId="08269D77"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78,33 %</w:t>
            </w:r>
          </w:p>
        </w:tc>
      </w:tr>
      <w:tr w:rsidR="00A40E4D" w:rsidRPr="004E4D16" w14:paraId="5989B1D4" w14:textId="77777777">
        <w:trPr>
          <w:trHeight w:val="510"/>
          <w:jc w:val="center"/>
        </w:trPr>
        <w:tc>
          <w:tcPr>
            <w:tcW w:w="5670" w:type="dxa"/>
            <w:vAlign w:val="center"/>
          </w:tcPr>
          <w:p w14:paraId="0B2AA197"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Redujo la frecuencia con que transita solo/a por el sector – población flotante</w:t>
            </w:r>
          </w:p>
        </w:tc>
        <w:tc>
          <w:tcPr>
            <w:tcW w:w="1500" w:type="dxa"/>
            <w:vAlign w:val="center"/>
          </w:tcPr>
          <w:p w14:paraId="7D85D29A"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29,49 %</w:t>
            </w:r>
          </w:p>
        </w:tc>
        <w:tc>
          <w:tcPr>
            <w:tcW w:w="1500" w:type="dxa"/>
            <w:vAlign w:val="center"/>
          </w:tcPr>
          <w:p w14:paraId="11ED595B"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31,67 %</w:t>
            </w:r>
          </w:p>
        </w:tc>
      </w:tr>
      <w:tr w:rsidR="00A40E4D" w:rsidRPr="004E4D16" w14:paraId="5824238A" w14:textId="77777777">
        <w:trPr>
          <w:trHeight w:val="510"/>
          <w:jc w:val="center"/>
        </w:trPr>
        <w:tc>
          <w:tcPr>
            <w:tcW w:w="5670" w:type="dxa"/>
            <w:vAlign w:val="center"/>
          </w:tcPr>
          <w:p w14:paraId="1277ED95"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Redujo la frecuencia con que asiste a espectáculos públicos del sector – población flotante</w:t>
            </w:r>
          </w:p>
        </w:tc>
        <w:tc>
          <w:tcPr>
            <w:tcW w:w="1500" w:type="dxa"/>
            <w:vAlign w:val="center"/>
          </w:tcPr>
          <w:p w14:paraId="1DE21F42"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28,85 %</w:t>
            </w:r>
          </w:p>
        </w:tc>
        <w:tc>
          <w:tcPr>
            <w:tcW w:w="1500" w:type="dxa"/>
            <w:vAlign w:val="center"/>
          </w:tcPr>
          <w:p w14:paraId="06D5EE50"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32,92 %</w:t>
            </w:r>
          </w:p>
        </w:tc>
      </w:tr>
      <w:tr w:rsidR="00A40E4D" w:rsidRPr="004E4D16" w14:paraId="1E7A848D" w14:textId="77777777">
        <w:trPr>
          <w:trHeight w:val="510"/>
          <w:jc w:val="center"/>
        </w:trPr>
        <w:tc>
          <w:tcPr>
            <w:tcW w:w="5670" w:type="dxa"/>
            <w:vAlign w:val="center"/>
          </w:tcPr>
          <w:p w14:paraId="7D7452F9"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Redujo la frecuencia con que visita restaurantes y cafeterías del sector – población flotante</w:t>
            </w:r>
          </w:p>
        </w:tc>
        <w:tc>
          <w:tcPr>
            <w:tcW w:w="1500" w:type="dxa"/>
            <w:vAlign w:val="center"/>
          </w:tcPr>
          <w:p w14:paraId="72A02599"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20,51 %</w:t>
            </w:r>
          </w:p>
        </w:tc>
        <w:tc>
          <w:tcPr>
            <w:tcW w:w="1500" w:type="dxa"/>
            <w:vAlign w:val="center"/>
          </w:tcPr>
          <w:p w14:paraId="04CF4443"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34,17 %</w:t>
            </w:r>
          </w:p>
        </w:tc>
      </w:tr>
      <w:tr w:rsidR="00A40E4D" w:rsidRPr="004E4D16" w14:paraId="79C8A393" w14:textId="77777777">
        <w:trPr>
          <w:trHeight w:val="510"/>
          <w:jc w:val="center"/>
        </w:trPr>
        <w:tc>
          <w:tcPr>
            <w:tcW w:w="5670" w:type="dxa"/>
            <w:vAlign w:val="center"/>
          </w:tcPr>
          <w:p w14:paraId="5D3BD044"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Redujo la frecuencia con que visita bares y discotecas del sector – población flotante</w:t>
            </w:r>
          </w:p>
        </w:tc>
        <w:tc>
          <w:tcPr>
            <w:tcW w:w="1500" w:type="dxa"/>
            <w:vAlign w:val="center"/>
          </w:tcPr>
          <w:p w14:paraId="5AB19FA3"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26,28 %</w:t>
            </w:r>
          </w:p>
        </w:tc>
        <w:tc>
          <w:tcPr>
            <w:tcW w:w="1500" w:type="dxa"/>
            <w:vAlign w:val="center"/>
          </w:tcPr>
          <w:p w14:paraId="6B460F5F"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28,75 %</w:t>
            </w:r>
          </w:p>
        </w:tc>
      </w:tr>
      <w:tr w:rsidR="00A40E4D" w:rsidRPr="004E4D16" w14:paraId="0608D46C" w14:textId="77777777">
        <w:trPr>
          <w:trHeight w:val="510"/>
          <w:jc w:val="center"/>
        </w:trPr>
        <w:tc>
          <w:tcPr>
            <w:tcW w:w="5670" w:type="dxa"/>
            <w:vAlign w:val="center"/>
          </w:tcPr>
          <w:p w14:paraId="2138262E"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lastRenderedPageBreak/>
              <w:t>Redujo la frecuencia con que utiliza cajeros automáticos del sector – población flotante</w:t>
            </w:r>
          </w:p>
        </w:tc>
        <w:tc>
          <w:tcPr>
            <w:tcW w:w="1500" w:type="dxa"/>
            <w:vAlign w:val="center"/>
          </w:tcPr>
          <w:p w14:paraId="021D7C38"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24,36 %</w:t>
            </w:r>
          </w:p>
        </w:tc>
        <w:tc>
          <w:tcPr>
            <w:tcW w:w="1500" w:type="dxa"/>
            <w:vAlign w:val="center"/>
          </w:tcPr>
          <w:p w14:paraId="40332B16"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38,75 %</w:t>
            </w:r>
          </w:p>
        </w:tc>
      </w:tr>
      <w:tr w:rsidR="00A40E4D" w:rsidRPr="004E4D16" w14:paraId="6901DE97" w14:textId="77777777">
        <w:trPr>
          <w:trHeight w:val="510"/>
          <w:jc w:val="center"/>
        </w:trPr>
        <w:tc>
          <w:tcPr>
            <w:tcW w:w="5670" w:type="dxa"/>
            <w:vAlign w:val="center"/>
          </w:tcPr>
          <w:p w14:paraId="1BC9ED28"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Redujo la frecuencia con que porta dinero en efectivo en el sector – población flotante</w:t>
            </w:r>
          </w:p>
        </w:tc>
        <w:tc>
          <w:tcPr>
            <w:tcW w:w="1500" w:type="dxa"/>
            <w:vAlign w:val="center"/>
          </w:tcPr>
          <w:p w14:paraId="2C9BDAAB"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35,90 %</w:t>
            </w:r>
          </w:p>
        </w:tc>
        <w:tc>
          <w:tcPr>
            <w:tcW w:w="1500" w:type="dxa"/>
            <w:vAlign w:val="center"/>
          </w:tcPr>
          <w:p w14:paraId="7220A25E"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46,67 %</w:t>
            </w:r>
          </w:p>
        </w:tc>
      </w:tr>
      <w:tr w:rsidR="00A40E4D" w:rsidRPr="004E4D16" w14:paraId="2E8EFC21" w14:textId="77777777">
        <w:trPr>
          <w:trHeight w:val="510"/>
          <w:jc w:val="center"/>
        </w:trPr>
        <w:tc>
          <w:tcPr>
            <w:tcW w:w="5670" w:type="dxa"/>
            <w:vAlign w:val="center"/>
          </w:tcPr>
          <w:p w14:paraId="07C53D2C"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Desconocimiento como motivo para no participar en actividades de seguridad ciudadana – locales comerciales que no participan</w:t>
            </w:r>
          </w:p>
        </w:tc>
        <w:tc>
          <w:tcPr>
            <w:tcW w:w="1500" w:type="dxa"/>
            <w:vAlign w:val="center"/>
          </w:tcPr>
          <w:p w14:paraId="34C86D31"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28,26 %</w:t>
            </w:r>
          </w:p>
        </w:tc>
        <w:tc>
          <w:tcPr>
            <w:tcW w:w="1500" w:type="dxa"/>
            <w:vAlign w:val="center"/>
          </w:tcPr>
          <w:p w14:paraId="0811D116"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52,50 %</w:t>
            </w:r>
          </w:p>
        </w:tc>
      </w:tr>
    </w:tbl>
    <w:p w14:paraId="3E6B4E3D" w14:textId="77777777" w:rsidR="00A40E4D" w:rsidRPr="004E4D16" w:rsidRDefault="00000000">
      <w:pPr>
        <w:spacing w:after="120" w:line="276" w:lineRule="auto"/>
        <w:jc w:val="both"/>
        <w:rPr>
          <w:rFonts w:asciiTheme="majorHAnsi" w:hAnsiTheme="majorHAnsi" w:cstheme="majorHAnsi"/>
          <w:b/>
          <w:bCs/>
          <w:sz w:val="18"/>
          <w:szCs w:val="18"/>
        </w:rPr>
      </w:pPr>
      <w:r w:rsidRPr="004E4D16">
        <w:rPr>
          <w:rFonts w:asciiTheme="majorHAnsi" w:hAnsiTheme="majorHAnsi" w:cstheme="majorHAnsi"/>
          <w:b/>
          <w:bCs/>
          <w:i/>
          <w:iCs/>
          <w:sz w:val="16"/>
          <w:szCs w:val="18"/>
        </w:rPr>
        <w:t>Fuente:</w:t>
      </w:r>
      <w:r w:rsidRPr="004E4D16">
        <w:rPr>
          <w:rFonts w:asciiTheme="majorHAnsi" w:hAnsiTheme="majorHAnsi" w:cstheme="majorHAnsi"/>
          <w:i/>
          <w:iCs/>
          <w:sz w:val="16"/>
          <w:szCs w:val="18"/>
        </w:rPr>
        <w:t xml:space="preserve"> Evaluación Anual del Plan de Intervención y Recuperación de La Mariscal 2025-2026 (Estudio de Victimización y Percepción de Inseguridad). Encuestas efectivas: 156 (2025) y 240 (2026) a población flotante; 62 a locales comerciales en cada medición. El estudio advierte la subrepresentación de personas mayores de 44 años en la muestra de población flotante.</w:t>
      </w:r>
    </w:p>
    <w:p w14:paraId="35A5423E"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Los resultados muestran una reducción de la victimización en ambos grupos y una disminución de la percepción de inseguridad, más marcada entre los locales comerciales. Esa mejora no se tradujo en una recuperación equivalente de la confianza para usar el espacio público: la percepción de inseguridad al caminar solo/a de noche se mantuvo cerca del 80 % y, en seis actividades cotidianas, aumentó la proporción de personas que redujeron su frecuencia. Estos datos no explican por sí solos las causas de ese comportamiento, pero mostraron la necesidad de ampliar el análisis más allá de los hechos delictivos e incorporar la experiencia de las personas en el uso del espacio público.</w:t>
      </w:r>
    </w:p>
    <w:p w14:paraId="1FEB1453"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Entre los locales comerciales que no participan en actividades de seguridad ciudadana, el desconocimiento como motivo pasó de 28,26 % a 52,50 %. Este dato, junto con los hallazgos de la escucha territorial, orientó la atención hacia la relación entre las capacidades existentes en el territorio y lo que las personas conocen y utilizan.</w:t>
      </w:r>
    </w:p>
    <w:p w14:paraId="187778CA" w14:textId="77777777" w:rsidR="00A40E4D" w:rsidRPr="004E4D16" w:rsidRDefault="00000000">
      <w:pPr>
        <w:keepNext/>
        <w:spacing w:after="120" w:line="276" w:lineRule="auto"/>
        <w:jc w:val="both"/>
        <w:rPr>
          <w:rFonts w:asciiTheme="majorHAnsi" w:hAnsiTheme="majorHAnsi" w:cstheme="majorHAnsi"/>
          <w:b/>
          <w:bCs/>
        </w:rPr>
      </w:pPr>
      <w:r w:rsidRPr="004E4D16">
        <w:rPr>
          <w:rFonts w:asciiTheme="majorHAnsi" w:hAnsiTheme="majorHAnsi" w:cstheme="majorHAnsi"/>
          <w:b/>
          <w:bCs/>
          <w:sz w:val="22"/>
        </w:rPr>
        <w:t>3. Proceso de construcción del desafío</w:t>
      </w:r>
    </w:p>
    <w:p w14:paraId="3A619F8C"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El desafío se construyó con la Mesa Técnica de Innovación, integrada por representantes de nivel estratégico, táctico y operativo de las instituciones promotoras. El proceso combinó análisis de información institucional, escucha territorial, contraste de la información recogida, identificación de patrones, priorización y validación con la Mesa Técnica:</w:t>
      </w:r>
    </w:p>
    <w:tbl>
      <w:tblPr>
        <w:tblW w:w="867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4A0" w:firstRow="1" w:lastRow="0" w:firstColumn="1" w:lastColumn="0" w:noHBand="0" w:noVBand="1"/>
      </w:tblPr>
      <w:tblGrid>
        <w:gridCol w:w="2700"/>
        <w:gridCol w:w="5970"/>
      </w:tblGrid>
      <w:tr w:rsidR="00A40E4D" w:rsidRPr="004E4D16" w14:paraId="6F0257A3" w14:textId="77777777">
        <w:trPr>
          <w:tblHeader/>
          <w:jc w:val="center"/>
        </w:trPr>
        <w:tc>
          <w:tcPr>
            <w:tcW w:w="2700" w:type="dxa"/>
            <w:shd w:val="clear" w:color="auto" w:fill="D9E2F3"/>
            <w:vAlign w:val="center"/>
          </w:tcPr>
          <w:p w14:paraId="4E32803F" w14:textId="77777777" w:rsidR="00A40E4D" w:rsidRPr="004E4D16" w:rsidRDefault="00000000">
            <w:pPr>
              <w:spacing w:before="20" w:after="20"/>
              <w:jc w:val="center"/>
              <w:rPr>
                <w:rFonts w:asciiTheme="majorHAnsi" w:hAnsiTheme="majorHAnsi" w:cstheme="majorHAnsi"/>
              </w:rPr>
            </w:pPr>
            <w:r w:rsidRPr="004E4D16">
              <w:rPr>
                <w:rFonts w:asciiTheme="majorHAnsi" w:hAnsiTheme="majorHAnsi" w:cstheme="majorHAnsi"/>
                <w:b/>
                <w:bCs/>
                <w:sz w:val="19"/>
                <w:szCs w:val="19"/>
              </w:rPr>
              <w:t>FASE</w:t>
            </w:r>
          </w:p>
        </w:tc>
        <w:tc>
          <w:tcPr>
            <w:tcW w:w="5970" w:type="dxa"/>
            <w:shd w:val="clear" w:color="auto" w:fill="D9E2F3"/>
            <w:vAlign w:val="center"/>
          </w:tcPr>
          <w:p w14:paraId="026EC82F" w14:textId="77777777" w:rsidR="00A40E4D" w:rsidRPr="004E4D16" w:rsidRDefault="00000000">
            <w:pPr>
              <w:spacing w:before="20" w:after="20"/>
              <w:jc w:val="center"/>
              <w:rPr>
                <w:rFonts w:asciiTheme="majorHAnsi" w:hAnsiTheme="majorHAnsi" w:cstheme="majorHAnsi"/>
              </w:rPr>
            </w:pPr>
            <w:r w:rsidRPr="004E4D16">
              <w:rPr>
                <w:rFonts w:asciiTheme="majorHAnsi" w:hAnsiTheme="majorHAnsi" w:cstheme="majorHAnsi"/>
                <w:b/>
                <w:bCs/>
                <w:sz w:val="19"/>
                <w:szCs w:val="19"/>
              </w:rPr>
              <w:t>PRINCIPALES ACTIVIDADES</w:t>
            </w:r>
          </w:p>
        </w:tc>
      </w:tr>
      <w:tr w:rsidR="00A40E4D" w:rsidRPr="004E4D16" w14:paraId="76AE844C" w14:textId="77777777">
        <w:trPr>
          <w:trHeight w:val="510"/>
          <w:jc w:val="center"/>
        </w:trPr>
        <w:tc>
          <w:tcPr>
            <w:tcW w:w="2700" w:type="dxa"/>
            <w:vAlign w:val="center"/>
          </w:tcPr>
          <w:p w14:paraId="47E8FAA2"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Preparación</w:t>
            </w:r>
          </w:p>
        </w:tc>
        <w:tc>
          <w:tcPr>
            <w:tcW w:w="5970" w:type="dxa"/>
            <w:vAlign w:val="center"/>
          </w:tcPr>
          <w:p w14:paraId="4FE3F157"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Instalación de la Mesa Técnica; recopilación de estudios y diagnósticos; formulación de hipótesis institucionales; identificación de actores.</w:t>
            </w:r>
          </w:p>
        </w:tc>
      </w:tr>
      <w:tr w:rsidR="00A40E4D" w:rsidRPr="004E4D16" w14:paraId="5F66636E" w14:textId="77777777">
        <w:trPr>
          <w:trHeight w:val="510"/>
          <w:jc w:val="center"/>
        </w:trPr>
        <w:tc>
          <w:tcPr>
            <w:tcW w:w="2700" w:type="dxa"/>
            <w:vAlign w:val="center"/>
          </w:tcPr>
          <w:p w14:paraId="201654D1"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Diagnóstico y escucha territorial</w:t>
            </w:r>
          </w:p>
        </w:tc>
        <w:tc>
          <w:tcPr>
            <w:tcW w:w="5970" w:type="dxa"/>
            <w:vAlign w:val="center"/>
          </w:tcPr>
          <w:p w14:paraId="13C09D7C"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Taller de comprensión de la experiencia de las personas usuarias; cuatro espacios de escucha territorial; taller de análisis de causas, relaciones y actores.</w:t>
            </w:r>
          </w:p>
        </w:tc>
      </w:tr>
      <w:tr w:rsidR="00A40E4D" w:rsidRPr="004E4D16" w14:paraId="308E63AE" w14:textId="77777777">
        <w:trPr>
          <w:trHeight w:val="510"/>
          <w:jc w:val="center"/>
        </w:trPr>
        <w:tc>
          <w:tcPr>
            <w:tcW w:w="2700" w:type="dxa"/>
            <w:vAlign w:val="center"/>
          </w:tcPr>
          <w:p w14:paraId="76015471"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Síntesis y priorización</w:t>
            </w:r>
          </w:p>
        </w:tc>
        <w:tc>
          <w:tcPr>
            <w:tcW w:w="5970" w:type="dxa"/>
            <w:vAlign w:val="center"/>
          </w:tcPr>
          <w:p w14:paraId="2C1158F4"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Sistematización de hallazgos; identificación de patrones; priorización multicriterio de los núcleos problemáticos.</w:t>
            </w:r>
          </w:p>
        </w:tc>
      </w:tr>
      <w:tr w:rsidR="00A40E4D" w:rsidRPr="004E4D16" w14:paraId="2A0B4340" w14:textId="77777777">
        <w:trPr>
          <w:trHeight w:val="510"/>
          <w:jc w:val="center"/>
        </w:trPr>
        <w:tc>
          <w:tcPr>
            <w:tcW w:w="2700" w:type="dxa"/>
            <w:vAlign w:val="center"/>
          </w:tcPr>
          <w:p w14:paraId="6192D849"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Caracterización del Reto</w:t>
            </w:r>
          </w:p>
        </w:tc>
        <w:tc>
          <w:tcPr>
            <w:tcW w:w="5970" w:type="dxa"/>
            <w:vAlign w:val="center"/>
          </w:tcPr>
          <w:p w14:paraId="59804CB3"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Elaboración de la ficha técnica, del punto de vista de las personas usuarias y de la pregunta del desafío; validación con la Mesa Técnica.</w:t>
            </w:r>
          </w:p>
        </w:tc>
      </w:tr>
    </w:tbl>
    <w:p w14:paraId="0421C1A0" w14:textId="77777777" w:rsidR="003400CE" w:rsidRPr="004E4D16" w:rsidRDefault="003400CE">
      <w:pPr>
        <w:spacing w:after="120" w:line="276" w:lineRule="auto"/>
        <w:jc w:val="both"/>
        <w:rPr>
          <w:rFonts w:asciiTheme="majorHAnsi" w:hAnsiTheme="majorHAnsi" w:cstheme="majorHAnsi"/>
          <w:sz w:val="22"/>
        </w:rPr>
      </w:pPr>
    </w:p>
    <w:p w14:paraId="127DA362" w14:textId="09D9D089"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La escucha territorial se realizó con cuatro grupos de actores: organizaciones barriales, comités de seguridad y comités de riesgo; comercio, establecimientos, bares, restaurantes y hoteles; Policía Nacional, Agencia Metropolitana de Control, Agencia Metropolitana de Tránsito, Cuerpo de Bomberos y otras entidades operativas; e instituciones de educación superior y comunidades estudiantiles. Su propósito fue contrastar la información institucional con la experiencia de quienes habitan, trabajan, estudian, visitan y transitan por el sector.</w:t>
      </w:r>
    </w:p>
    <w:p w14:paraId="2D7D0950" w14:textId="01FE0A32" w:rsidR="00A40E4D" w:rsidRPr="004E4D16" w:rsidRDefault="00000000" w:rsidP="003400CE">
      <w:pPr>
        <w:spacing w:after="120" w:line="276" w:lineRule="auto"/>
        <w:jc w:val="both"/>
        <w:rPr>
          <w:rFonts w:asciiTheme="majorHAnsi" w:hAnsiTheme="majorHAnsi" w:cstheme="majorHAnsi"/>
          <w:b/>
          <w:bCs/>
        </w:rPr>
      </w:pPr>
      <w:r w:rsidRPr="004E4D16">
        <w:rPr>
          <w:rFonts w:asciiTheme="majorHAnsi" w:hAnsiTheme="majorHAnsi" w:cstheme="majorHAnsi"/>
          <w:sz w:val="22"/>
        </w:rPr>
        <w:t xml:space="preserve">La escucha permitió comprender las diferencias asociadas a horarios y usos, las formas en que las personas adaptan sus recorridos y su permanencia, las capacidades existentes en el territorio </w:t>
      </w:r>
      <w:r w:rsidRPr="004E4D16">
        <w:rPr>
          <w:rFonts w:asciiTheme="majorHAnsi" w:hAnsiTheme="majorHAnsi" w:cstheme="majorHAnsi"/>
          <w:sz w:val="22"/>
        </w:rPr>
        <w:lastRenderedPageBreak/>
        <w:t>y su relación con la experiencia cotidiana de las personas. La síntesis de esa evidencia identificó cinco núcleos problemáticos</w:t>
      </w:r>
      <w:r w:rsidR="003400CE" w:rsidRPr="004E4D16">
        <w:rPr>
          <w:rFonts w:asciiTheme="majorHAnsi" w:hAnsiTheme="majorHAnsi" w:cstheme="majorHAnsi"/>
          <w:sz w:val="22"/>
        </w:rPr>
        <w:t>.</w:t>
      </w:r>
    </w:p>
    <w:p w14:paraId="30DB02A7"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Los núcleos se priorizaron según su potencial para ser abordados mediante soluciones desarrollables y validables dentro del alcance de un reto. Los de mayor resultado fueron «Capacidades instaladas sin articulación» y «Distancia entre la oferta institucional y su uso». Sobre esa base, y considerando las condiciones de uso del espacio público identificadas en la evidencia, se formularon la pregunta del desafío y sus dos líneas de búsqueda de soluciones, validadas con la Mesa Técnica. Los demás núcleos forman parte del contexto del desafío, pero su abordaje excede el alcance de esta convocatoria.</w:t>
      </w:r>
    </w:p>
    <w:p w14:paraId="5D018A2C" w14:textId="77777777" w:rsidR="00A40E4D" w:rsidRPr="004E4D16" w:rsidRDefault="00000000">
      <w:pPr>
        <w:keepNext/>
        <w:spacing w:after="120" w:line="276" w:lineRule="auto"/>
        <w:jc w:val="both"/>
        <w:rPr>
          <w:rFonts w:asciiTheme="majorHAnsi" w:hAnsiTheme="majorHAnsi" w:cstheme="majorHAnsi"/>
          <w:b/>
          <w:bCs/>
        </w:rPr>
      </w:pPr>
      <w:r w:rsidRPr="004E4D16">
        <w:rPr>
          <w:rFonts w:asciiTheme="majorHAnsi" w:hAnsiTheme="majorHAnsi" w:cstheme="majorHAnsi"/>
          <w:b/>
          <w:bCs/>
          <w:sz w:val="22"/>
        </w:rPr>
        <w:t>4. Capacidades públicas desplegadas en el territorio</w:t>
      </w:r>
    </w:p>
    <w:p w14:paraId="1F1E9B18"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La Mariscal cuenta con capacidades públicas desplegadas para observar, coordinar y responder ante situaciones relacionadas con la convivencia y el apoyo a la seguridad ciudadana: presencia institucional en el territorio, mecanismos de coordinación interinstitucional y recursos para la atención de incidentes.</w:t>
      </w:r>
    </w:p>
    <w:p w14:paraId="7430AAC7"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Entre ellas se encuentra el Puesto de Mando Operativo (PMO), ubicado en la Plaza Gabriela Mistral y liderado por la Secretaría General de Seguridad Ciudadana y Gestión de Riesgos. Desde el PMO se articula y coordina la actuación de distintas entidades municipales frente a situaciones de convivencia ciudadana, espacio público y apoyo a la seguridad ciudadana; cuando las circunstancias lo requieren, esta actuación puede coordinarse con otras instituciones competentes, incluida la Policía Nacional.</w:t>
      </w:r>
    </w:p>
    <w:p w14:paraId="0A1483F1"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Durante la escucha territorial se identificó que actores con presencia permanente en el sector desconocían el PMO. Este hallazgo no constituye una valoración de su funcionamiento: ilustra la distancia que puede existir entre una respuesta pública existente y la experiencia cotidiana de las personas.</w:t>
      </w:r>
    </w:p>
    <w:p w14:paraId="50165A8A"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El PMO es una de las capacidades públicas presentes en el territorio, no la única. Las propuestas pueden relacionarse con esta u otras capacidades cuando la naturaleza de la solución lo justifique; la articulación con el PMO no es un requisito ni una condición de evaluación. El Reto no busca crear capacidades desde cero, sino explorar formas de conectar las existentes con la experiencia de las personas y con otros actores del territorio.</w:t>
      </w:r>
    </w:p>
    <w:p w14:paraId="049C3D7F" w14:textId="77777777" w:rsidR="00A40E4D" w:rsidRPr="004E4D16" w:rsidRDefault="00000000">
      <w:pPr>
        <w:keepNext/>
        <w:spacing w:after="120" w:line="276" w:lineRule="auto"/>
        <w:jc w:val="both"/>
        <w:rPr>
          <w:rFonts w:asciiTheme="majorHAnsi" w:hAnsiTheme="majorHAnsi" w:cstheme="majorHAnsi"/>
          <w:b/>
          <w:bCs/>
        </w:rPr>
      </w:pPr>
      <w:r w:rsidRPr="004E4D16">
        <w:rPr>
          <w:rFonts w:asciiTheme="majorHAnsi" w:hAnsiTheme="majorHAnsi" w:cstheme="majorHAnsi"/>
          <w:b/>
          <w:bCs/>
          <w:sz w:val="22"/>
        </w:rPr>
        <w:t>5. Delimitación del desafío</w:t>
      </w:r>
    </w:p>
    <w:p w14:paraId="78EFF10C"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La priorización concentró el Reto en ámbitos que pueden abordarse mediante soluciones susceptibles de desarrollo, validación y eventual experimentación dentro del alcance de la convocatoria:</w:t>
      </w:r>
    </w:p>
    <w:tbl>
      <w:tblPr>
        <w:tblW w:w="867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4A0" w:firstRow="1" w:lastRow="0" w:firstColumn="1" w:lastColumn="0" w:noHBand="0" w:noVBand="1"/>
      </w:tblPr>
      <w:tblGrid>
        <w:gridCol w:w="4335"/>
        <w:gridCol w:w="4335"/>
      </w:tblGrid>
      <w:tr w:rsidR="00A40E4D" w:rsidRPr="004E4D16" w14:paraId="0A5A5C54" w14:textId="77777777">
        <w:trPr>
          <w:tblHeader/>
          <w:jc w:val="center"/>
        </w:trPr>
        <w:tc>
          <w:tcPr>
            <w:tcW w:w="4335" w:type="dxa"/>
            <w:shd w:val="clear" w:color="auto" w:fill="D9E2F3"/>
            <w:vAlign w:val="center"/>
          </w:tcPr>
          <w:p w14:paraId="27FF573E" w14:textId="77777777" w:rsidR="00A40E4D" w:rsidRPr="004E4D16" w:rsidRDefault="00000000">
            <w:pPr>
              <w:spacing w:before="20" w:after="20"/>
              <w:jc w:val="center"/>
              <w:rPr>
                <w:rFonts w:asciiTheme="majorHAnsi" w:hAnsiTheme="majorHAnsi" w:cstheme="majorHAnsi"/>
              </w:rPr>
            </w:pPr>
            <w:r w:rsidRPr="004E4D16">
              <w:rPr>
                <w:rFonts w:asciiTheme="majorHAnsi" w:hAnsiTheme="majorHAnsi" w:cstheme="majorHAnsi"/>
                <w:b/>
                <w:bCs/>
                <w:sz w:val="19"/>
                <w:szCs w:val="19"/>
              </w:rPr>
              <w:t>EL RETO BUSCA</w:t>
            </w:r>
          </w:p>
        </w:tc>
        <w:tc>
          <w:tcPr>
            <w:tcW w:w="4335" w:type="dxa"/>
            <w:shd w:val="clear" w:color="auto" w:fill="D9E2F3"/>
            <w:vAlign w:val="center"/>
          </w:tcPr>
          <w:p w14:paraId="09C29EFF" w14:textId="77777777" w:rsidR="00A40E4D" w:rsidRPr="004E4D16" w:rsidRDefault="00000000">
            <w:pPr>
              <w:spacing w:before="20" w:after="20"/>
              <w:jc w:val="center"/>
              <w:rPr>
                <w:rFonts w:asciiTheme="majorHAnsi" w:hAnsiTheme="majorHAnsi" w:cstheme="majorHAnsi"/>
              </w:rPr>
            </w:pPr>
            <w:r w:rsidRPr="004E4D16">
              <w:rPr>
                <w:rFonts w:asciiTheme="majorHAnsi" w:hAnsiTheme="majorHAnsi" w:cstheme="majorHAnsi"/>
                <w:b/>
                <w:bCs/>
                <w:sz w:val="19"/>
                <w:szCs w:val="19"/>
              </w:rPr>
              <w:t>EL RETO NO BUSCA</w:t>
            </w:r>
          </w:p>
        </w:tc>
      </w:tr>
      <w:tr w:rsidR="00A40E4D" w:rsidRPr="004E4D16" w14:paraId="16058538" w14:textId="77777777">
        <w:trPr>
          <w:trHeight w:val="510"/>
          <w:jc w:val="center"/>
        </w:trPr>
        <w:tc>
          <w:tcPr>
            <w:tcW w:w="4335" w:type="dxa"/>
            <w:vAlign w:val="center"/>
          </w:tcPr>
          <w:p w14:paraId="4794C520"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Soluciones que mejoren las condiciones en que las personas usan, recorren y permanecen en el espacio público, en lugares y horarios concretos.</w:t>
            </w:r>
          </w:p>
        </w:tc>
        <w:tc>
          <w:tcPr>
            <w:tcW w:w="4335" w:type="dxa"/>
            <w:vAlign w:val="center"/>
          </w:tcPr>
          <w:p w14:paraId="315B48D3"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Resolver integralmente los problemas de seguridad de La Mariscal.</w:t>
            </w:r>
          </w:p>
        </w:tc>
      </w:tr>
      <w:tr w:rsidR="00A40E4D" w:rsidRPr="004E4D16" w14:paraId="2903C455" w14:textId="77777777">
        <w:trPr>
          <w:trHeight w:val="510"/>
          <w:jc w:val="center"/>
        </w:trPr>
        <w:tc>
          <w:tcPr>
            <w:tcW w:w="4335" w:type="dxa"/>
            <w:vAlign w:val="center"/>
          </w:tcPr>
          <w:p w14:paraId="6CD48284"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Nuevas formas de conectar las respuestas públicas existentes con la experiencia cotidiana de las personas.</w:t>
            </w:r>
          </w:p>
        </w:tc>
        <w:tc>
          <w:tcPr>
            <w:tcW w:w="4335" w:type="dxa"/>
            <w:vAlign w:val="center"/>
          </w:tcPr>
          <w:p w14:paraId="2FA0059A"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Crear capacidades desde cero, sustituir competencias institucionales ni modificar la organización interna de las instituciones.</w:t>
            </w:r>
          </w:p>
        </w:tc>
      </w:tr>
      <w:tr w:rsidR="00A40E4D" w:rsidRPr="004E4D16" w14:paraId="30072C88" w14:textId="77777777">
        <w:trPr>
          <w:trHeight w:val="510"/>
          <w:jc w:val="center"/>
        </w:trPr>
        <w:tc>
          <w:tcPr>
            <w:tcW w:w="4335" w:type="dxa"/>
            <w:vAlign w:val="center"/>
          </w:tcPr>
          <w:p w14:paraId="108FAD20"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Propuestas con personas usuarias, contexto territorial y caso de uso definidos.</w:t>
            </w:r>
          </w:p>
        </w:tc>
        <w:tc>
          <w:tcPr>
            <w:tcW w:w="4335" w:type="dxa"/>
            <w:vAlign w:val="center"/>
          </w:tcPr>
          <w:p w14:paraId="72F15999"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Soluciones genéricas dirigidas a “la ciudadanía” sin precisar personas usuarias ni caso de uso.</w:t>
            </w:r>
          </w:p>
        </w:tc>
      </w:tr>
      <w:tr w:rsidR="00A40E4D" w:rsidRPr="004E4D16" w14:paraId="732D5915" w14:textId="77777777">
        <w:trPr>
          <w:trHeight w:val="510"/>
          <w:jc w:val="center"/>
        </w:trPr>
        <w:tc>
          <w:tcPr>
            <w:tcW w:w="4335" w:type="dxa"/>
            <w:vAlign w:val="center"/>
          </w:tcPr>
          <w:p w14:paraId="1E443141"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lastRenderedPageBreak/>
              <w:t>Soluciones de distinta naturaleza, con o sin componentes tecnológicos.</w:t>
            </w:r>
          </w:p>
        </w:tc>
        <w:tc>
          <w:tcPr>
            <w:tcW w:w="4335" w:type="dxa"/>
            <w:vAlign w:val="center"/>
          </w:tcPr>
          <w:p w14:paraId="392247E8"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Imponer un tipo de solución o una tecnología determinada.</w:t>
            </w:r>
          </w:p>
        </w:tc>
      </w:tr>
      <w:tr w:rsidR="00A40E4D" w:rsidRPr="004E4D16" w14:paraId="66F275D0" w14:textId="77777777">
        <w:trPr>
          <w:trHeight w:val="510"/>
          <w:jc w:val="center"/>
        </w:trPr>
        <w:tc>
          <w:tcPr>
            <w:tcW w:w="4335" w:type="dxa"/>
            <w:vAlign w:val="center"/>
          </w:tcPr>
          <w:p w14:paraId="2DBF779C"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Articulación con capacidades públicas y actores del territorio cuando la naturaleza de la solución lo justifique.</w:t>
            </w:r>
          </w:p>
        </w:tc>
        <w:tc>
          <w:tcPr>
            <w:tcW w:w="4335" w:type="dxa"/>
            <w:vAlign w:val="center"/>
          </w:tcPr>
          <w:p w14:paraId="255C749D"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Exigir la articulación con el PMO ni la participación de la Policía Nacional.</w:t>
            </w:r>
          </w:p>
        </w:tc>
      </w:tr>
      <w:tr w:rsidR="00A40E4D" w:rsidRPr="004E4D16" w14:paraId="3E6DDB38" w14:textId="77777777">
        <w:trPr>
          <w:trHeight w:val="510"/>
          <w:jc w:val="center"/>
        </w:trPr>
        <w:tc>
          <w:tcPr>
            <w:tcW w:w="4335" w:type="dxa"/>
            <w:vAlign w:val="center"/>
          </w:tcPr>
          <w:p w14:paraId="7E9E910A"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Evidencia y aprendizajes útiles para decisiones institucionales posteriores.</w:t>
            </w:r>
          </w:p>
        </w:tc>
        <w:tc>
          <w:tcPr>
            <w:tcW w:w="4335" w:type="dxa"/>
            <w:vAlign w:val="center"/>
          </w:tcPr>
          <w:p w14:paraId="242F1CBA" w14:textId="77777777" w:rsidR="00A40E4D" w:rsidRPr="004E4D16" w:rsidRDefault="00000000">
            <w:pPr>
              <w:spacing w:before="20" w:after="20"/>
              <w:rPr>
                <w:rFonts w:asciiTheme="majorHAnsi" w:hAnsiTheme="majorHAnsi" w:cstheme="majorHAnsi"/>
              </w:rPr>
            </w:pPr>
            <w:r w:rsidRPr="004E4D16">
              <w:rPr>
                <w:rFonts w:asciiTheme="majorHAnsi" w:hAnsiTheme="majorHAnsi" w:cstheme="majorHAnsi"/>
                <w:sz w:val="19"/>
                <w:szCs w:val="19"/>
              </w:rPr>
              <w:t>Comprometer la contratación, adopción, implementación o escalamiento de la solución ganadora.</w:t>
            </w:r>
          </w:p>
        </w:tc>
      </w:tr>
    </w:tbl>
    <w:p w14:paraId="177FD068" w14:textId="77777777" w:rsidR="00A40E4D" w:rsidRPr="004E4D16" w:rsidRDefault="00A40E4D">
      <w:pPr>
        <w:spacing w:after="120" w:line="276" w:lineRule="auto"/>
        <w:jc w:val="both"/>
        <w:rPr>
          <w:rFonts w:asciiTheme="majorHAnsi" w:hAnsiTheme="majorHAnsi" w:cstheme="majorHAnsi"/>
          <w:b/>
          <w:bCs/>
        </w:rPr>
      </w:pPr>
    </w:p>
    <w:p w14:paraId="1D6AF030" w14:textId="77777777" w:rsidR="00A40E4D" w:rsidRPr="004E4D16" w:rsidRDefault="00000000">
      <w:pPr>
        <w:keepNext/>
        <w:spacing w:after="120" w:line="276" w:lineRule="auto"/>
        <w:jc w:val="both"/>
        <w:rPr>
          <w:rFonts w:asciiTheme="majorHAnsi" w:hAnsiTheme="majorHAnsi" w:cstheme="majorHAnsi"/>
          <w:b/>
          <w:bCs/>
        </w:rPr>
      </w:pPr>
      <w:r w:rsidRPr="004E4D16">
        <w:rPr>
          <w:rFonts w:asciiTheme="majorHAnsi" w:hAnsiTheme="majorHAnsi" w:cstheme="majorHAnsi"/>
          <w:b/>
          <w:bCs/>
          <w:sz w:val="22"/>
        </w:rPr>
        <w:t>6. Personas usuarias y actores del territorio</w:t>
      </w:r>
    </w:p>
    <w:p w14:paraId="2A8D2314"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La experiencia del territorio no es homogénea: varía según la actividad de cada persona, el momento y las condiciones del entorno. Por ello, no todas las propuestas se dirigirán a las mismas personas usuarias. Cada propuesta debe precisar a quiénes busca beneficiar, qué situación de su experiencia pretende transformar y en qué contexto se produce. A modo de referencia, pueden ser personas usuarias:</w:t>
      </w:r>
    </w:p>
    <w:p w14:paraId="03876E3E" w14:textId="77777777" w:rsidR="00A40E4D" w:rsidRPr="004E4D16" w:rsidRDefault="00000000">
      <w:pPr>
        <w:pStyle w:val="Prrafodelista"/>
        <w:numPr>
          <w:ilvl w:val="0"/>
          <w:numId w:val="47"/>
        </w:numPr>
        <w:spacing w:after="60" w:line="276" w:lineRule="auto"/>
        <w:ind w:left="560"/>
        <w:jc w:val="both"/>
        <w:rPr>
          <w:rFonts w:asciiTheme="majorHAnsi" w:hAnsiTheme="majorHAnsi" w:cstheme="majorHAnsi"/>
        </w:rPr>
      </w:pPr>
      <w:r w:rsidRPr="004E4D16">
        <w:rPr>
          <w:rFonts w:asciiTheme="majorHAnsi" w:hAnsiTheme="majorHAnsi" w:cstheme="majorHAnsi"/>
          <w:sz w:val="22"/>
        </w:rPr>
        <w:t>personas residentes de La Mariscal;</w:t>
      </w:r>
    </w:p>
    <w:p w14:paraId="7D9CE7EF" w14:textId="77777777" w:rsidR="00A40E4D" w:rsidRPr="004E4D16" w:rsidRDefault="00000000">
      <w:pPr>
        <w:pStyle w:val="Prrafodelista"/>
        <w:numPr>
          <w:ilvl w:val="0"/>
          <w:numId w:val="47"/>
        </w:numPr>
        <w:spacing w:after="60" w:line="276" w:lineRule="auto"/>
        <w:ind w:left="560"/>
        <w:jc w:val="both"/>
        <w:rPr>
          <w:rFonts w:asciiTheme="majorHAnsi" w:hAnsiTheme="majorHAnsi" w:cstheme="majorHAnsi"/>
        </w:rPr>
      </w:pPr>
      <w:r w:rsidRPr="004E4D16">
        <w:rPr>
          <w:rFonts w:asciiTheme="majorHAnsi" w:hAnsiTheme="majorHAnsi" w:cstheme="majorHAnsi"/>
          <w:sz w:val="22"/>
        </w:rPr>
        <w:t>personas que trabajan o desarrollan actividades económicas en el territorio;</w:t>
      </w:r>
    </w:p>
    <w:p w14:paraId="077AAA7F" w14:textId="77777777" w:rsidR="00A40E4D" w:rsidRPr="004E4D16" w:rsidRDefault="00000000">
      <w:pPr>
        <w:pStyle w:val="Prrafodelista"/>
        <w:numPr>
          <w:ilvl w:val="0"/>
          <w:numId w:val="47"/>
        </w:numPr>
        <w:spacing w:after="60" w:line="276" w:lineRule="auto"/>
        <w:ind w:left="560"/>
        <w:jc w:val="both"/>
        <w:rPr>
          <w:rFonts w:asciiTheme="majorHAnsi" w:hAnsiTheme="majorHAnsi" w:cstheme="majorHAnsi"/>
        </w:rPr>
      </w:pPr>
      <w:r w:rsidRPr="004E4D16">
        <w:rPr>
          <w:rFonts w:asciiTheme="majorHAnsi" w:hAnsiTheme="majorHAnsi" w:cstheme="majorHAnsi"/>
          <w:sz w:val="22"/>
        </w:rPr>
        <w:t>estudiantes y miembros de instituciones de educación superior con presencia en el sector;</w:t>
      </w:r>
    </w:p>
    <w:p w14:paraId="07EB888E" w14:textId="77777777" w:rsidR="00A40E4D" w:rsidRPr="004E4D16" w:rsidRDefault="00000000">
      <w:pPr>
        <w:pStyle w:val="Prrafodelista"/>
        <w:numPr>
          <w:ilvl w:val="0"/>
          <w:numId w:val="47"/>
        </w:numPr>
        <w:spacing w:after="60" w:line="276" w:lineRule="auto"/>
        <w:ind w:left="560"/>
        <w:jc w:val="both"/>
        <w:rPr>
          <w:rFonts w:asciiTheme="majorHAnsi" w:hAnsiTheme="majorHAnsi" w:cstheme="majorHAnsi"/>
        </w:rPr>
      </w:pPr>
      <w:r w:rsidRPr="004E4D16">
        <w:rPr>
          <w:rFonts w:asciiTheme="majorHAnsi" w:hAnsiTheme="majorHAnsi" w:cstheme="majorHAnsi"/>
          <w:sz w:val="22"/>
        </w:rPr>
        <w:t>personas que transitan por La Mariscal para desarrollar actividades cotidianas; y</w:t>
      </w:r>
    </w:p>
    <w:p w14:paraId="71E26ED3" w14:textId="77777777" w:rsidR="00A40E4D" w:rsidRPr="004E4D16" w:rsidRDefault="00000000">
      <w:pPr>
        <w:pStyle w:val="Prrafodelista"/>
        <w:numPr>
          <w:ilvl w:val="0"/>
          <w:numId w:val="47"/>
        </w:numPr>
        <w:spacing w:after="60" w:line="276" w:lineRule="auto"/>
        <w:ind w:left="560"/>
        <w:jc w:val="both"/>
        <w:rPr>
          <w:rFonts w:asciiTheme="majorHAnsi" w:hAnsiTheme="majorHAnsi" w:cstheme="majorHAnsi"/>
        </w:rPr>
      </w:pPr>
      <w:r w:rsidRPr="004E4D16">
        <w:rPr>
          <w:rFonts w:asciiTheme="majorHAnsi" w:hAnsiTheme="majorHAnsi" w:cstheme="majorHAnsi"/>
          <w:sz w:val="22"/>
        </w:rPr>
        <w:t>visitantes que acuden por actividades comerciales, culturales, recreativas, turísticas o de entretenimiento.</w:t>
      </w:r>
    </w:p>
    <w:p w14:paraId="16C27A2F"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Según la naturaleza de cada propuesta, podrán involucrarse actores como:</w:t>
      </w:r>
    </w:p>
    <w:p w14:paraId="3DD61559" w14:textId="77777777" w:rsidR="00A40E4D" w:rsidRPr="004E4D16" w:rsidRDefault="00000000">
      <w:pPr>
        <w:pStyle w:val="Prrafodelista"/>
        <w:numPr>
          <w:ilvl w:val="0"/>
          <w:numId w:val="47"/>
        </w:numPr>
        <w:spacing w:after="60" w:line="276" w:lineRule="auto"/>
        <w:ind w:left="560"/>
        <w:jc w:val="both"/>
        <w:rPr>
          <w:rFonts w:asciiTheme="majorHAnsi" w:hAnsiTheme="majorHAnsi" w:cstheme="majorHAnsi"/>
        </w:rPr>
      </w:pPr>
      <w:r w:rsidRPr="004E4D16">
        <w:rPr>
          <w:rFonts w:asciiTheme="majorHAnsi" w:hAnsiTheme="majorHAnsi" w:cstheme="majorHAnsi"/>
          <w:sz w:val="22"/>
        </w:rPr>
        <w:t>organizaciones territoriales, comités barriales y organizaciones de la sociedad civil;</w:t>
      </w:r>
    </w:p>
    <w:p w14:paraId="58FDBA9E" w14:textId="77777777" w:rsidR="00A40E4D" w:rsidRPr="004E4D16" w:rsidRDefault="00000000">
      <w:pPr>
        <w:pStyle w:val="Prrafodelista"/>
        <w:numPr>
          <w:ilvl w:val="0"/>
          <w:numId w:val="47"/>
        </w:numPr>
        <w:spacing w:after="60" w:line="276" w:lineRule="auto"/>
        <w:ind w:left="560"/>
        <w:jc w:val="both"/>
        <w:rPr>
          <w:rFonts w:asciiTheme="majorHAnsi" w:hAnsiTheme="majorHAnsi" w:cstheme="majorHAnsi"/>
        </w:rPr>
      </w:pPr>
      <w:r w:rsidRPr="004E4D16">
        <w:rPr>
          <w:rFonts w:asciiTheme="majorHAnsi" w:hAnsiTheme="majorHAnsi" w:cstheme="majorHAnsi"/>
          <w:sz w:val="22"/>
        </w:rPr>
        <w:t>comerciantes, establecimientos y otros actores económicos;</w:t>
      </w:r>
    </w:p>
    <w:p w14:paraId="18ED1D96" w14:textId="77777777" w:rsidR="00A40E4D" w:rsidRPr="004E4D16" w:rsidRDefault="00000000">
      <w:pPr>
        <w:pStyle w:val="Prrafodelista"/>
        <w:numPr>
          <w:ilvl w:val="0"/>
          <w:numId w:val="47"/>
        </w:numPr>
        <w:spacing w:after="60" w:line="276" w:lineRule="auto"/>
        <w:ind w:left="560"/>
        <w:jc w:val="both"/>
        <w:rPr>
          <w:rFonts w:asciiTheme="majorHAnsi" w:hAnsiTheme="majorHAnsi" w:cstheme="majorHAnsi"/>
        </w:rPr>
      </w:pPr>
      <w:r w:rsidRPr="004E4D16">
        <w:rPr>
          <w:rFonts w:asciiTheme="majorHAnsi" w:hAnsiTheme="majorHAnsi" w:cstheme="majorHAnsi"/>
          <w:sz w:val="22"/>
        </w:rPr>
        <w:t>instituciones de educación superior y su comunidad estudiantil;</w:t>
      </w:r>
    </w:p>
    <w:p w14:paraId="5B94C354" w14:textId="77777777" w:rsidR="00A40E4D" w:rsidRPr="004E4D16" w:rsidRDefault="00000000">
      <w:pPr>
        <w:pStyle w:val="Prrafodelista"/>
        <w:numPr>
          <w:ilvl w:val="0"/>
          <w:numId w:val="47"/>
        </w:numPr>
        <w:spacing w:after="60" w:line="276" w:lineRule="auto"/>
        <w:ind w:left="560"/>
        <w:jc w:val="both"/>
        <w:rPr>
          <w:rFonts w:asciiTheme="majorHAnsi" w:hAnsiTheme="majorHAnsi" w:cstheme="majorHAnsi"/>
        </w:rPr>
      </w:pPr>
      <w:r w:rsidRPr="004E4D16">
        <w:rPr>
          <w:rFonts w:asciiTheme="majorHAnsi" w:hAnsiTheme="majorHAnsi" w:cstheme="majorHAnsi"/>
          <w:sz w:val="22"/>
        </w:rPr>
        <w:t>actores culturales, turísticos, recreativos y de entretenimiento;</w:t>
      </w:r>
    </w:p>
    <w:p w14:paraId="7516646D" w14:textId="77777777" w:rsidR="00A40E4D" w:rsidRPr="004E4D16" w:rsidRDefault="00000000">
      <w:pPr>
        <w:pStyle w:val="Prrafodelista"/>
        <w:numPr>
          <w:ilvl w:val="0"/>
          <w:numId w:val="47"/>
        </w:numPr>
        <w:spacing w:after="60" w:line="276" w:lineRule="auto"/>
        <w:ind w:left="560"/>
        <w:jc w:val="both"/>
        <w:rPr>
          <w:rFonts w:asciiTheme="majorHAnsi" w:hAnsiTheme="majorHAnsi" w:cstheme="majorHAnsi"/>
        </w:rPr>
      </w:pPr>
      <w:r w:rsidRPr="004E4D16">
        <w:rPr>
          <w:rFonts w:asciiTheme="majorHAnsi" w:hAnsiTheme="majorHAnsi" w:cstheme="majorHAnsi"/>
          <w:sz w:val="22"/>
        </w:rPr>
        <w:t>instituciones públicas con competencias en seguridad, convivencia, gestión del espacio público y prestación de servicios; y</w:t>
      </w:r>
    </w:p>
    <w:p w14:paraId="77178D8D" w14:textId="77777777" w:rsidR="00A40E4D" w:rsidRPr="004E4D16" w:rsidRDefault="00000000">
      <w:pPr>
        <w:pStyle w:val="Prrafodelista"/>
        <w:numPr>
          <w:ilvl w:val="0"/>
          <w:numId w:val="47"/>
        </w:numPr>
        <w:spacing w:after="60" w:line="276" w:lineRule="auto"/>
        <w:ind w:left="560"/>
        <w:jc w:val="both"/>
        <w:rPr>
          <w:rFonts w:asciiTheme="majorHAnsi" w:hAnsiTheme="majorHAnsi" w:cstheme="majorHAnsi"/>
        </w:rPr>
      </w:pPr>
      <w:r w:rsidRPr="004E4D16">
        <w:rPr>
          <w:rFonts w:asciiTheme="majorHAnsi" w:hAnsiTheme="majorHAnsi" w:cstheme="majorHAnsi"/>
          <w:sz w:val="22"/>
        </w:rPr>
        <w:t>actores del ecosistema de innovación, academia y emprendimiento.</w:t>
      </w:r>
    </w:p>
    <w:p w14:paraId="5D9E400C" w14:textId="4C7CED60" w:rsidR="00A40E4D" w:rsidRPr="004E4D16" w:rsidRDefault="00000000" w:rsidP="46A40AC4">
      <w:pPr>
        <w:spacing w:after="120" w:line="276" w:lineRule="auto"/>
        <w:jc w:val="both"/>
        <w:rPr>
          <w:rFonts w:asciiTheme="majorHAnsi" w:hAnsiTheme="majorHAnsi" w:cstheme="majorHAnsi"/>
          <w:b/>
          <w:bCs/>
        </w:rPr>
      </w:pPr>
      <w:r w:rsidRPr="004E4D16">
        <w:rPr>
          <w:rFonts w:asciiTheme="majorHAnsi" w:hAnsiTheme="majorHAnsi" w:cstheme="majorHAnsi"/>
          <w:sz w:val="22"/>
          <w:szCs w:val="22"/>
        </w:rPr>
        <w:t xml:space="preserve">No se requiere que todas las propuestas involucren a todos estos actores: cada una debe identificar aquellos que resulten relevantes para su caso de uso. </w:t>
      </w:r>
    </w:p>
    <w:p w14:paraId="1B0C06DF" w14:textId="77777777" w:rsidR="00A40E4D" w:rsidRPr="004E4D16" w:rsidRDefault="00000000">
      <w:pPr>
        <w:keepNext/>
        <w:spacing w:after="120" w:line="276" w:lineRule="auto"/>
        <w:jc w:val="both"/>
        <w:rPr>
          <w:rFonts w:asciiTheme="majorHAnsi" w:hAnsiTheme="majorHAnsi" w:cstheme="majorHAnsi"/>
          <w:b/>
          <w:bCs/>
        </w:rPr>
      </w:pPr>
      <w:r w:rsidRPr="004E4D16">
        <w:rPr>
          <w:rFonts w:asciiTheme="majorHAnsi" w:hAnsiTheme="majorHAnsi" w:cstheme="majorHAnsi"/>
          <w:b/>
          <w:bCs/>
          <w:sz w:val="22"/>
        </w:rPr>
        <w:t>7. Valor público esperado</w:t>
      </w:r>
    </w:p>
    <w:p w14:paraId="37704BD0" w14:textId="77777777" w:rsidR="00A40E4D" w:rsidRPr="004E4D16" w:rsidRDefault="00000000">
      <w:pPr>
        <w:spacing w:after="120" w:line="276" w:lineRule="auto"/>
        <w:jc w:val="both"/>
        <w:rPr>
          <w:rFonts w:asciiTheme="majorHAnsi" w:hAnsiTheme="majorHAnsi" w:cstheme="majorHAnsi"/>
          <w:b/>
          <w:bCs/>
        </w:rPr>
      </w:pPr>
      <w:r w:rsidRPr="004E4D16">
        <w:rPr>
          <w:rFonts w:asciiTheme="majorHAnsi" w:hAnsiTheme="majorHAnsi" w:cstheme="majorHAnsi"/>
          <w:sz w:val="22"/>
        </w:rPr>
        <w:t>El Reto busca contribuir a que las personas puedan usar y permanecer con mayor confianza en determinados espacios y horarios de La Mariscal; a que las respuestas públicas existentes sean más conocidas, comprensibles o utilizables; y a que las instituciones cuenten con evidencia sobre el funcionamiento de las soluciones para orientar sus decisiones posteriores. El alcance de estos resultados dependerá de cada solución y de la evidencia que se genere; la participación en el Reto no implica la implementación definitiva ni el escalamiento de las soluciones.</w:t>
      </w:r>
    </w:p>
    <w:sectPr w:rsidR="00A40E4D" w:rsidRPr="004E4D16" w:rsidSect="003400CE">
      <w:headerReference w:type="default" r:id="rId10"/>
      <w:footerReference w:type="default" r:id="rId11"/>
      <w:pgSz w:w="11900" w:h="16840"/>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5F538" w14:textId="77777777" w:rsidR="00130F46" w:rsidRDefault="00130F46" w:rsidP="00CC16BE">
      <w:r>
        <w:separator/>
      </w:r>
    </w:p>
  </w:endnote>
  <w:endnote w:type="continuationSeparator" w:id="0">
    <w:p w14:paraId="46EFC1D1" w14:textId="77777777" w:rsidR="00130F46" w:rsidRDefault="00130F46" w:rsidP="00CC1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F5BA" w14:textId="77777777" w:rsidR="00CC16BE" w:rsidRDefault="008F325C" w:rsidP="00CC16BE">
    <w:pPr>
      <w:pStyle w:val="Piedepgina"/>
      <w:ind w:hanging="1701"/>
    </w:pPr>
    <w:r>
      <w:rPr>
        <w:noProof/>
      </w:rPr>
      <mc:AlternateContent>
        <mc:Choice Requires="wps">
          <w:drawing>
            <wp:anchor distT="0" distB="0" distL="114300" distR="114300" simplePos="0" relativeHeight="251662336" behindDoc="0" locked="0" layoutInCell="1" allowOverlap="1" wp14:anchorId="40D23FB8" wp14:editId="5347E4F7">
              <wp:simplePos x="0" y="0"/>
              <wp:positionH relativeFrom="column">
                <wp:posOffset>-1168400</wp:posOffset>
              </wp:positionH>
              <wp:positionV relativeFrom="paragraph">
                <wp:posOffset>35560</wp:posOffset>
              </wp:positionV>
              <wp:extent cx="7795895" cy="123825"/>
              <wp:effectExtent l="0" t="0" r="1905" b="3175"/>
              <wp:wrapNone/>
              <wp:docPr id="1103650331" name="Rectángulo 1"/>
              <wp:cNvGraphicFramePr/>
              <a:graphic xmlns:a="http://schemas.openxmlformats.org/drawingml/2006/main">
                <a:graphicData uri="http://schemas.microsoft.com/office/word/2010/wordprocessingShape">
                  <wps:wsp>
                    <wps:cNvSpPr/>
                    <wps:spPr>
                      <a:xfrm>
                        <a:off x="0" y="0"/>
                        <a:ext cx="7795895" cy="123825"/>
                      </a:xfrm>
                      <a:prstGeom prst="rect">
                        <a:avLst/>
                      </a:prstGeom>
                      <a:solidFill>
                        <a:srgbClr val="27357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4EA98871">
            <v:rect id="Rectángulo 1" style="position:absolute;margin-left:-92pt;margin-top:2.8pt;width:613.85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7357d" stroked="f" strokeweight="1pt" w14:anchorId="01261D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"/>
          </w:pict>
        </mc:Fallback>
      </mc:AlternateContent>
    </w:r>
    <w:r>
      <w:rPr>
        <w:noProof/>
      </w:rPr>
      <w:drawing>
        <wp:anchor distT="0" distB="0" distL="114300" distR="114300" simplePos="0" relativeHeight="251663360" behindDoc="1" locked="0" layoutInCell="1" allowOverlap="1" wp14:anchorId="171302A5" wp14:editId="26D4F857">
          <wp:simplePos x="0" y="0"/>
          <wp:positionH relativeFrom="column">
            <wp:posOffset>-302260</wp:posOffset>
          </wp:positionH>
          <wp:positionV relativeFrom="paragraph">
            <wp:posOffset>-716280</wp:posOffset>
          </wp:positionV>
          <wp:extent cx="1333500" cy="638175"/>
          <wp:effectExtent l="0" t="0" r="0" b="0"/>
          <wp:wrapNone/>
          <wp:docPr id="16605703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555877" name="Imagen 1343555877"/>
                  <pic:cNvPicPr/>
                </pic:nvPicPr>
                <pic:blipFill rotWithShape="1">
                  <a:blip r:embed="rId1"/>
                  <a:srcRect l="20622" t="91425" r="61666" b="2586"/>
                  <a:stretch>
                    <a:fillRect/>
                  </a:stretch>
                </pic:blipFill>
                <pic:spPr bwMode="auto">
                  <a:xfrm>
                    <a:off x="0" y="0"/>
                    <a:ext cx="1333500" cy="638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2DF8DB20" wp14:editId="1B0EEE34">
          <wp:simplePos x="0" y="0"/>
          <wp:positionH relativeFrom="column">
            <wp:posOffset>4374073</wp:posOffset>
          </wp:positionH>
          <wp:positionV relativeFrom="paragraph">
            <wp:posOffset>-763325</wp:posOffset>
          </wp:positionV>
          <wp:extent cx="1847623" cy="8001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
                  <a:stretch>
                    <a:fillRect/>
                  </a:stretch>
                </pic:blipFill>
                <pic:spPr>
                  <a:xfrm>
                    <a:off x="0" y="0"/>
                    <a:ext cx="1847623" cy="8001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58CC2" w14:textId="77777777" w:rsidR="00130F46" w:rsidRDefault="00130F46" w:rsidP="00CC16BE">
      <w:r>
        <w:separator/>
      </w:r>
    </w:p>
  </w:footnote>
  <w:footnote w:type="continuationSeparator" w:id="0">
    <w:p w14:paraId="601940CA" w14:textId="77777777" w:rsidR="00130F46" w:rsidRDefault="00130F46" w:rsidP="00CC1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3B5F1" w14:textId="77777777" w:rsidR="00CC16BE" w:rsidRDefault="008F325C" w:rsidP="00CC16BE">
    <w:pPr>
      <w:pStyle w:val="Encabezado"/>
      <w:ind w:hanging="1701"/>
    </w:pPr>
    <w:r>
      <w:rPr>
        <w:noProof/>
      </w:rPr>
      <w:drawing>
        <wp:anchor distT="0" distB="0" distL="114300" distR="114300" simplePos="0" relativeHeight="251660288" behindDoc="1" locked="0" layoutInCell="1" allowOverlap="1" wp14:anchorId="3DA72BE8" wp14:editId="65EBF118">
          <wp:simplePos x="0" y="0"/>
          <wp:positionH relativeFrom="margin">
            <wp:posOffset>3837305</wp:posOffset>
          </wp:positionH>
          <wp:positionV relativeFrom="margin">
            <wp:posOffset>-885521</wp:posOffset>
          </wp:positionV>
          <wp:extent cx="2222500" cy="64325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stretch>
                    <a:fillRect/>
                  </a:stretch>
                </pic:blipFill>
                <pic:spPr>
                  <a:xfrm>
                    <a:off x="0" y="0"/>
                    <a:ext cx="2222500" cy="643255"/>
                  </a:xfrm>
                  <a:prstGeom prst="rect">
                    <a:avLst/>
                  </a:prstGeom>
                </pic:spPr>
              </pic:pic>
            </a:graphicData>
          </a:graphic>
          <wp14:sizeRelH relativeFrom="page">
            <wp14:pctWidth>0</wp14:pctWidth>
          </wp14:sizeRelH>
          <wp14:sizeRelV relativeFrom="page">
            <wp14:pctHeight>0</wp14:pctHeight>
          </wp14:sizeRelV>
        </wp:anchor>
      </w:drawing>
    </w:r>
    <w:r w:rsidR="0073245B">
      <w:rPr>
        <w:noProof/>
      </w:rPr>
      <w:drawing>
        <wp:anchor distT="0" distB="0" distL="114300" distR="114300" simplePos="0" relativeHeight="251659264" behindDoc="1" locked="0" layoutInCell="1" allowOverlap="1" wp14:anchorId="65F838A9" wp14:editId="71FAE468">
          <wp:simplePos x="0" y="0"/>
          <wp:positionH relativeFrom="column">
            <wp:posOffset>-652145</wp:posOffset>
          </wp:positionH>
          <wp:positionV relativeFrom="paragraph">
            <wp:posOffset>111125</wp:posOffset>
          </wp:positionV>
          <wp:extent cx="1200150" cy="1123315"/>
          <wp:effectExtent l="0" t="0" r="0" b="0"/>
          <wp:wrapNone/>
          <wp:docPr id="12816049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555877" name="Imagen 1343555877"/>
                  <pic:cNvPicPr/>
                </pic:nvPicPr>
                <pic:blipFill rotWithShape="1">
                  <a:blip r:embed="rId2"/>
                  <a:srcRect l="5061" t="90174" r="78998" b="-715"/>
                  <a:stretch>
                    <a:fillRect/>
                  </a:stretch>
                </pic:blipFill>
                <pic:spPr bwMode="auto">
                  <a:xfrm>
                    <a:off x="0" y="0"/>
                    <a:ext cx="1200150" cy="11233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B0E4"/>
    <w:multiLevelType w:val="hybridMultilevel"/>
    <w:tmpl w:val="18362A1E"/>
    <w:lvl w:ilvl="0" w:tplc="30DCC638">
      <w:start w:val="1"/>
      <w:numFmt w:val="bullet"/>
      <w:lvlText w:val="o"/>
      <w:lvlJc w:val="left"/>
      <w:pPr>
        <w:ind w:left="1080" w:hanging="360"/>
      </w:pPr>
      <w:rPr>
        <w:rFonts w:ascii="Courier New" w:hAnsi="Courier New" w:hint="default"/>
      </w:rPr>
    </w:lvl>
    <w:lvl w:ilvl="1" w:tplc="0DB8BB02">
      <w:start w:val="1"/>
      <w:numFmt w:val="bullet"/>
      <w:lvlText w:val="o"/>
      <w:lvlJc w:val="left"/>
      <w:pPr>
        <w:ind w:left="1800" w:hanging="360"/>
      </w:pPr>
      <w:rPr>
        <w:rFonts w:ascii="Courier New" w:hAnsi="Courier New" w:hint="default"/>
      </w:rPr>
    </w:lvl>
    <w:lvl w:ilvl="2" w:tplc="C44C2AC0">
      <w:start w:val="1"/>
      <w:numFmt w:val="bullet"/>
      <w:lvlText w:val=""/>
      <w:lvlJc w:val="left"/>
      <w:pPr>
        <w:ind w:left="2520" w:hanging="360"/>
      </w:pPr>
      <w:rPr>
        <w:rFonts w:ascii="Wingdings" w:hAnsi="Wingdings" w:hint="default"/>
      </w:rPr>
    </w:lvl>
    <w:lvl w:ilvl="3" w:tplc="9718D800">
      <w:start w:val="1"/>
      <w:numFmt w:val="bullet"/>
      <w:lvlText w:val=""/>
      <w:lvlJc w:val="left"/>
      <w:pPr>
        <w:ind w:left="3240" w:hanging="360"/>
      </w:pPr>
      <w:rPr>
        <w:rFonts w:ascii="Symbol" w:hAnsi="Symbol" w:hint="default"/>
      </w:rPr>
    </w:lvl>
    <w:lvl w:ilvl="4" w:tplc="2370C832">
      <w:start w:val="1"/>
      <w:numFmt w:val="bullet"/>
      <w:lvlText w:val="o"/>
      <w:lvlJc w:val="left"/>
      <w:pPr>
        <w:ind w:left="3960" w:hanging="360"/>
      </w:pPr>
      <w:rPr>
        <w:rFonts w:ascii="Courier New" w:hAnsi="Courier New" w:hint="default"/>
      </w:rPr>
    </w:lvl>
    <w:lvl w:ilvl="5" w:tplc="BA445CC8">
      <w:start w:val="1"/>
      <w:numFmt w:val="bullet"/>
      <w:lvlText w:val=""/>
      <w:lvlJc w:val="left"/>
      <w:pPr>
        <w:ind w:left="4680" w:hanging="360"/>
      </w:pPr>
      <w:rPr>
        <w:rFonts w:ascii="Wingdings" w:hAnsi="Wingdings" w:hint="default"/>
      </w:rPr>
    </w:lvl>
    <w:lvl w:ilvl="6" w:tplc="EC504C76">
      <w:start w:val="1"/>
      <w:numFmt w:val="bullet"/>
      <w:lvlText w:val=""/>
      <w:lvlJc w:val="left"/>
      <w:pPr>
        <w:ind w:left="5400" w:hanging="360"/>
      </w:pPr>
      <w:rPr>
        <w:rFonts w:ascii="Symbol" w:hAnsi="Symbol" w:hint="default"/>
      </w:rPr>
    </w:lvl>
    <w:lvl w:ilvl="7" w:tplc="A554F402">
      <w:start w:val="1"/>
      <w:numFmt w:val="bullet"/>
      <w:lvlText w:val="o"/>
      <w:lvlJc w:val="left"/>
      <w:pPr>
        <w:ind w:left="6120" w:hanging="360"/>
      </w:pPr>
      <w:rPr>
        <w:rFonts w:ascii="Courier New" w:hAnsi="Courier New" w:hint="default"/>
      </w:rPr>
    </w:lvl>
    <w:lvl w:ilvl="8" w:tplc="B54A5350">
      <w:start w:val="1"/>
      <w:numFmt w:val="bullet"/>
      <w:lvlText w:val=""/>
      <w:lvlJc w:val="left"/>
      <w:pPr>
        <w:ind w:left="6840" w:hanging="360"/>
      </w:pPr>
      <w:rPr>
        <w:rFonts w:ascii="Wingdings" w:hAnsi="Wingdings" w:hint="default"/>
      </w:rPr>
    </w:lvl>
  </w:abstractNum>
  <w:abstractNum w:abstractNumId="1" w15:restartNumberingAfterBreak="0">
    <w:nsid w:val="044924B6"/>
    <w:multiLevelType w:val="multilevel"/>
    <w:tmpl w:val="05A6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E292A"/>
    <w:multiLevelType w:val="hybridMultilevel"/>
    <w:tmpl w:val="1BAC1CA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8B9640E"/>
    <w:multiLevelType w:val="hybridMultilevel"/>
    <w:tmpl w:val="12F82928"/>
    <w:lvl w:ilvl="0" w:tplc="344C97EC">
      <w:start w:val="1"/>
      <w:numFmt w:val="bullet"/>
      <w:lvlText w:val="o"/>
      <w:lvlJc w:val="left"/>
      <w:pPr>
        <w:ind w:left="720" w:hanging="360"/>
      </w:pPr>
      <w:rPr>
        <w:rFonts w:ascii="Courier New" w:hAnsi="Courier New" w:hint="default"/>
      </w:rPr>
    </w:lvl>
    <w:lvl w:ilvl="1" w:tplc="DE283C02">
      <w:start w:val="1"/>
      <w:numFmt w:val="bullet"/>
      <w:lvlText w:val="o"/>
      <w:lvlJc w:val="left"/>
      <w:pPr>
        <w:ind w:left="1440" w:hanging="360"/>
      </w:pPr>
      <w:rPr>
        <w:rFonts w:ascii="Courier New" w:hAnsi="Courier New" w:hint="default"/>
      </w:rPr>
    </w:lvl>
    <w:lvl w:ilvl="2" w:tplc="85AEF646">
      <w:start w:val="1"/>
      <w:numFmt w:val="bullet"/>
      <w:lvlText w:val=""/>
      <w:lvlJc w:val="left"/>
      <w:pPr>
        <w:ind w:left="2160" w:hanging="360"/>
      </w:pPr>
      <w:rPr>
        <w:rFonts w:ascii="Wingdings" w:hAnsi="Wingdings" w:hint="default"/>
      </w:rPr>
    </w:lvl>
    <w:lvl w:ilvl="3" w:tplc="9DFE9370">
      <w:start w:val="1"/>
      <w:numFmt w:val="bullet"/>
      <w:lvlText w:val=""/>
      <w:lvlJc w:val="left"/>
      <w:pPr>
        <w:ind w:left="2880" w:hanging="360"/>
      </w:pPr>
      <w:rPr>
        <w:rFonts w:ascii="Symbol" w:hAnsi="Symbol" w:hint="default"/>
      </w:rPr>
    </w:lvl>
    <w:lvl w:ilvl="4" w:tplc="98965012">
      <w:start w:val="1"/>
      <w:numFmt w:val="bullet"/>
      <w:lvlText w:val="o"/>
      <w:lvlJc w:val="left"/>
      <w:pPr>
        <w:ind w:left="3600" w:hanging="360"/>
      </w:pPr>
      <w:rPr>
        <w:rFonts w:ascii="Courier New" w:hAnsi="Courier New" w:hint="default"/>
      </w:rPr>
    </w:lvl>
    <w:lvl w:ilvl="5" w:tplc="57A60AFA">
      <w:start w:val="1"/>
      <w:numFmt w:val="bullet"/>
      <w:lvlText w:val=""/>
      <w:lvlJc w:val="left"/>
      <w:pPr>
        <w:ind w:left="4320" w:hanging="360"/>
      </w:pPr>
      <w:rPr>
        <w:rFonts w:ascii="Wingdings" w:hAnsi="Wingdings" w:hint="default"/>
      </w:rPr>
    </w:lvl>
    <w:lvl w:ilvl="6" w:tplc="937EBB04">
      <w:start w:val="1"/>
      <w:numFmt w:val="bullet"/>
      <w:lvlText w:val=""/>
      <w:lvlJc w:val="left"/>
      <w:pPr>
        <w:ind w:left="5040" w:hanging="360"/>
      </w:pPr>
      <w:rPr>
        <w:rFonts w:ascii="Symbol" w:hAnsi="Symbol" w:hint="default"/>
      </w:rPr>
    </w:lvl>
    <w:lvl w:ilvl="7" w:tplc="10F29A5E">
      <w:start w:val="1"/>
      <w:numFmt w:val="bullet"/>
      <w:lvlText w:val="o"/>
      <w:lvlJc w:val="left"/>
      <w:pPr>
        <w:ind w:left="5760" w:hanging="360"/>
      </w:pPr>
      <w:rPr>
        <w:rFonts w:ascii="Courier New" w:hAnsi="Courier New" w:hint="default"/>
      </w:rPr>
    </w:lvl>
    <w:lvl w:ilvl="8" w:tplc="9162C318">
      <w:start w:val="1"/>
      <w:numFmt w:val="bullet"/>
      <w:lvlText w:val=""/>
      <w:lvlJc w:val="left"/>
      <w:pPr>
        <w:ind w:left="6480" w:hanging="360"/>
      </w:pPr>
      <w:rPr>
        <w:rFonts w:ascii="Wingdings" w:hAnsi="Wingdings" w:hint="default"/>
      </w:rPr>
    </w:lvl>
  </w:abstractNum>
  <w:abstractNum w:abstractNumId="4" w15:restartNumberingAfterBreak="0">
    <w:nsid w:val="0D082F9F"/>
    <w:multiLevelType w:val="multilevel"/>
    <w:tmpl w:val="64520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623B0B"/>
    <w:multiLevelType w:val="multilevel"/>
    <w:tmpl w:val="B3C6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214283"/>
    <w:multiLevelType w:val="hybridMultilevel"/>
    <w:tmpl w:val="BBB477DA"/>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7" w15:restartNumberingAfterBreak="0">
    <w:nsid w:val="125A317B"/>
    <w:multiLevelType w:val="hybridMultilevel"/>
    <w:tmpl w:val="09D8E14A"/>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8" w15:restartNumberingAfterBreak="0">
    <w:nsid w:val="15187913"/>
    <w:multiLevelType w:val="multilevel"/>
    <w:tmpl w:val="2668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9D5CCD"/>
    <w:multiLevelType w:val="hybridMultilevel"/>
    <w:tmpl w:val="F55A24E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1BB65638"/>
    <w:multiLevelType w:val="hybridMultilevel"/>
    <w:tmpl w:val="DAA45E5A"/>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1" w15:restartNumberingAfterBreak="0">
    <w:nsid w:val="1D1723E3"/>
    <w:multiLevelType w:val="hybridMultilevel"/>
    <w:tmpl w:val="E746EC9A"/>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2" w15:restartNumberingAfterBreak="0">
    <w:nsid w:val="20383485"/>
    <w:multiLevelType w:val="hybridMultilevel"/>
    <w:tmpl w:val="23F02064"/>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3" w15:restartNumberingAfterBreak="0">
    <w:nsid w:val="22997280"/>
    <w:multiLevelType w:val="hybridMultilevel"/>
    <w:tmpl w:val="C66001D8"/>
    <w:lvl w:ilvl="0" w:tplc="300A0003">
      <w:start w:val="1"/>
      <w:numFmt w:val="bullet"/>
      <w:lvlText w:val="o"/>
      <w:lvlJc w:val="left"/>
      <w:pPr>
        <w:ind w:left="720" w:hanging="360"/>
      </w:pPr>
      <w:rPr>
        <w:rFonts w:ascii="Courier New" w:hAnsi="Courier New" w:cs="Courier New"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25614532"/>
    <w:multiLevelType w:val="hybridMultilevel"/>
    <w:tmpl w:val="C572433A"/>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5" w15:restartNumberingAfterBreak="0">
    <w:nsid w:val="2B85569B"/>
    <w:multiLevelType w:val="hybridMultilevel"/>
    <w:tmpl w:val="922658C8"/>
    <w:lvl w:ilvl="0" w:tplc="44886C86">
      <w:start w:val="1"/>
      <w:numFmt w:val="bullet"/>
      <w:lvlText w:val=""/>
      <w:lvlJc w:val="left"/>
      <w:pPr>
        <w:ind w:left="1440" w:hanging="360"/>
      </w:pPr>
      <w:rPr>
        <w:rFonts w:ascii="Symbol" w:hAnsi="Symbol" w:hint="default"/>
      </w:rPr>
    </w:lvl>
    <w:lvl w:ilvl="1" w:tplc="44886C86">
      <w:start w:val="1"/>
      <w:numFmt w:val="bullet"/>
      <w:lvlText w:val=""/>
      <w:lvlJc w:val="left"/>
      <w:pPr>
        <w:ind w:left="1440" w:hanging="360"/>
      </w:pPr>
      <w:rPr>
        <w:rFonts w:ascii="Symbol" w:hAnsi="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2BDD743A"/>
    <w:multiLevelType w:val="multilevel"/>
    <w:tmpl w:val="5782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D698B"/>
    <w:multiLevelType w:val="hybridMultilevel"/>
    <w:tmpl w:val="00D6877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2F256D0F"/>
    <w:multiLevelType w:val="hybridMultilevel"/>
    <w:tmpl w:val="5D7237B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3343DAE1"/>
    <w:multiLevelType w:val="hybridMultilevel"/>
    <w:tmpl w:val="0808622C"/>
    <w:lvl w:ilvl="0" w:tplc="903A6CBA">
      <w:start w:val="1"/>
      <w:numFmt w:val="bullet"/>
      <w:lvlText w:val="o"/>
      <w:lvlJc w:val="left"/>
      <w:pPr>
        <w:ind w:left="1440" w:hanging="360"/>
      </w:pPr>
      <w:rPr>
        <w:rFonts w:ascii="Courier New" w:hAnsi="Courier New" w:hint="default"/>
      </w:rPr>
    </w:lvl>
    <w:lvl w:ilvl="1" w:tplc="94588372">
      <w:start w:val="1"/>
      <w:numFmt w:val="bullet"/>
      <w:lvlText w:val="o"/>
      <w:lvlJc w:val="left"/>
      <w:pPr>
        <w:ind w:left="2160" w:hanging="360"/>
      </w:pPr>
      <w:rPr>
        <w:rFonts w:ascii="Courier New" w:hAnsi="Courier New" w:hint="default"/>
      </w:rPr>
    </w:lvl>
    <w:lvl w:ilvl="2" w:tplc="48CC10DC">
      <w:start w:val="1"/>
      <w:numFmt w:val="bullet"/>
      <w:lvlText w:val=""/>
      <w:lvlJc w:val="left"/>
      <w:pPr>
        <w:ind w:left="2880" w:hanging="360"/>
      </w:pPr>
      <w:rPr>
        <w:rFonts w:ascii="Wingdings" w:hAnsi="Wingdings" w:hint="default"/>
      </w:rPr>
    </w:lvl>
    <w:lvl w:ilvl="3" w:tplc="12F22722">
      <w:start w:val="1"/>
      <w:numFmt w:val="bullet"/>
      <w:lvlText w:val=""/>
      <w:lvlJc w:val="left"/>
      <w:pPr>
        <w:ind w:left="3600" w:hanging="360"/>
      </w:pPr>
      <w:rPr>
        <w:rFonts w:ascii="Symbol" w:hAnsi="Symbol" w:hint="default"/>
      </w:rPr>
    </w:lvl>
    <w:lvl w:ilvl="4" w:tplc="9E746C10">
      <w:start w:val="1"/>
      <w:numFmt w:val="bullet"/>
      <w:lvlText w:val="o"/>
      <w:lvlJc w:val="left"/>
      <w:pPr>
        <w:ind w:left="4320" w:hanging="360"/>
      </w:pPr>
      <w:rPr>
        <w:rFonts w:ascii="Courier New" w:hAnsi="Courier New" w:hint="default"/>
      </w:rPr>
    </w:lvl>
    <w:lvl w:ilvl="5" w:tplc="FAB46276">
      <w:start w:val="1"/>
      <w:numFmt w:val="bullet"/>
      <w:lvlText w:val=""/>
      <w:lvlJc w:val="left"/>
      <w:pPr>
        <w:ind w:left="5040" w:hanging="360"/>
      </w:pPr>
      <w:rPr>
        <w:rFonts w:ascii="Wingdings" w:hAnsi="Wingdings" w:hint="default"/>
      </w:rPr>
    </w:lvl>
    <w:lvl w:ilvl="6" w:tplc="C7CA3380">
      <w:start w:val="1"/>
      <w:numFmt w:val="bullet"/>
      <w:lvlText w:val=""/>
      <w:lvlJc w:val="left"/>
      <w:pPr>
        <w:ind w:left="5760" w:hanging="360"/>
      </w:pPr>
      <w:rPr>
        <w:rFonts w:ascii="Symbol" w:hAnsi="Symbol" w:hint="default"/>
      </w:rPr>
    </w:lvl>
    <w:lvl w:ilvl="7" w:tplc="44723542">
      <w:start w:val="1"/>
      <w:numFmt w:val="bullet"/>
      <w:lvlText w:val="o"/>
      <w:lvlJc w:val="left"/>
      <w:pPr>
        <w:ind w:left="6480" w:hanging="360"/>
      </w:pPr>
      <w:rPr>
        <w:rFonts w:ascii="Courier New" w:hAnsi="Courier New" w:hint="default"/>
      </w:rPr>
    </w:lvl>
    <w:lvl w:ilvl="8" w:tplc="B228243A">
      <w:start w:val="1"/>
      <w:numFmt w:val="bullet"/>
      <w:lvlText w:val=""/>
      <w:lvlJc w:val="left"/>
      <w:pPr>
        <w:ind w:left="7200" w:hanging="360"/>
      </w:pPr>
      <w:rPr>
        <w:rFonts w:ascii="Wingdings" w:hAnsi="Wingdings" w:hint="default"/>
      </w:rPr>
    </w:lvl>
  </w:abstractNum>
  <w:abstractNum w:abstractNumId="20" w15:restartNumberingAfterBreak="0">
    <w:nsid w:val="35F40136"/>
    <w:multiLevelType w:val="multilevel"/>
    <w:tmpl w:val="5DAC0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7051A3"/>
    <w:multiLevelType w:val="hybridMultilevel"/>
    <w:tmpl w:val="2AB6ED58"/>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2" w15:restartNumberingAfterBreak="0">
    <w:nsid w:val="3CEB46DC"/>
    <w:multiLevelType w:val="hybridMultilevel"/>
    <w:tmpl w:val="31641F6C"/>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3" w15:restartNumberingAfterBreak="0">
    <w:nsid w:val="4067668F"/>
    <w:multiLevelType w:val="multilevel"/>
    <w:tmpl w:val="7326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5637CD"/>
    <w:multiLevelType w:val="multilevel"/>
    <w:tmpl w:val="DB52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6B414A"/>
    <w:multiLevelType w:val="hybridMultilevel"/>
    <w:tmpl w:val="F008ED9C"/>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6" w15:restartNumberingAfterBreak="0">
    <w:nsid w:val="47346475"/>
    <w:multiLevelType w:val="multilevel"/>
    <w:tmpl w:val="65BA0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8E08E8"/>
    <w:multiLevelType w:val="multilevel"/>
    <w:tmpl w:val="AF5E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C92ABD"/>
    <w:multiLevelType w:val="hybridMultilevel"/>
    <w:tmpl w:val="C2EC881E"/>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9" w15:restartNumberingAfterBreak="0">
    <w:nsid w:val="4C5C342D"/>
    <w:multiLevelType w:val="multilevel"/>
    <w:tmpl w:val="9BFED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CE5FCC"/>
    <w:multiLevelType w:val="hybridMultilevel"/>
    <w:tmpl w:val="C8C49C88"/>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31" w15:restartNumberingAfterBreak="0">
    <w:nsid w:val="53424599"/>
    <w:multiLevelType w:val="multilevel"/>
    <w:tmpl w:val="79AC5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4536A4"/>
    <w:multiLevelType w:val="multilevel"/>
    <w:tmpl w:val="E8E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D2072D"/>
    <w:multiLevelType w:val="hybridMultilevel"/>
    <w:tmpl w:val="E84682F0"/>
    <w:lvl w:ilvl="0" w:tplc="300A0003">
      <w:start w:val="1"/>
      <w:numFmt w:val="bullet"/>
      <w:lvlText w:val="o"/>
      <w:lvlJc w:val="left"/>
      <w:pPr>
        <w:ind w:left="1428" w:hanging="360"/>
      </w:pPr>
      <w:rPr>
        <w:rFonts w:ascii="Courier New" w:hAnsi="Courier New" w:cs="Courier New"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34" w15:restartNumberingAfterBreak="0">
    <w:nsid w:val="5F162989"/>
    <w:multiLevelType w:val="multilevel"/>
    <w:tmpl w:val="5B3CA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FB7944"/>
    <w:multiLevelType w:val="hybridMultilevel"/>
    <w:tmpl w:val="DD86122E"/>
    <w:lvl w:ilvl="0" w:tplc="300A0003">
      <w:start w:val="1"/>
      <w:numFmt w:val="bullet"/>
      <w:lvlText w:val="o"/>
      <w:lvlJc w:val="left"/>
      <w:pPr>
        <w:ind w:left="1080" w:hanging="360"/>
      </w:pPr>
      <w:rPr>
        <w:rFonts w:ascii="Courier New" w:hAnsi="Courier New" w:cs="Courier New"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6" w15:restartNumberingAfterBreak="0">
    <w:nsid w:val="64210FF4"/>
    <w:multiLevelType w:val="multilevel"/>
    <w:tmpl w:val="87A68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7A582E"/>
    <w:multiLevelType w:val="hybridMultilevel"/>
    <w:tmpl w:val="36386612"/>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38" w15:restartNumberingAfterBreak="0">
    <w:nsid w:val="6C512B5D"/>
    <w:multiLevelType w:val="hybridMultilevel"/>
    <w:tmpl w:val="99EA41E6"/>
    <w:lvl w:ilvl="0" w:tplc="300A0003">
      <w:start w:val="1"/>
      <w:numFmt w:val="bullet"/>
      <w:lvlText w:val="o"/>
      <w:lvlJc w:val="left"/>
      <w:pPr>
        <w:ind w:left="720" w:hanging="360"/>
      </w:pPr>
      <w:rPr>
        <w:rFonts w:ascii="Courier New" w:hAnsi="Courier New" w:cs="Courier New"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9" w15:restartNumberingAfterBreak="0">
    <w:nsid w:val="6E11648E"/>
    <w:multiLevelType w:val="hybridMultilevel"/>
    <w:tmpl w:val="C08076C0"/>
    <w:lvl w:ilvl="0" w:tplc="0A28DB44">
      <w:start w:val="1"/>
      <w:numFmt w:val="decimal"/>
      <w:lvlText w:val="%1."/>
      <w:lvlJc w:val="left"/>
      <w:pPr>
        <w:ind w:left="720" w:hanging="360"/>
      </w:pPr>
      <w:rPr>
        <w:rFonts w:hint="default"/>
        <w:b w:val="0"/>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6E520BDB"/>
    <w:multiLevelType w:val="hybridMultilevel"/>
    <w:tmpl w:val="F580E86C"/>
    <w:lvl w:ilvl="0" w:tplc="300A0003">
      <w:start w:val="1"/>
      <w:numFmt w:val="bullet"/>
      <w:lvlText w:val="o"/>
      <w:lvlJc w:val="left"/>
      <w:pPr>
        <w:ind w:left="720" w:hanging="360"/>
      </w:pPr>
      <w:rPr>
        <w:rFonts w:ascii="Courier New" w:hAnsi="Courier New" w:cs="Courier New"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1" w15:restartNumberingAfterBreak="0">
    <w:nsid w:val="6FFA2792"/>
    <w:multiLevelType w:val="multilevel"/>
    <w:tmpl w:val="83CC8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1E7C80"/>
    <w:multiLevelType w:val="hybridMultilevel"/>
    <w:tmpl w:val="2CE476DC"/>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43" w15:restartNumberingAfterBreak="0">
    <w:nsid w:val="70FD775D"/>
    <w:multiLevelType w:val="hybridMultilevel"/>
    <w:tmpl w:val="15ACDC0E"/>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44" w15:restartNumberingAfterBreak="0">
    <w:nsid w:val="718D0E62"/>
    <w:multiLevelType w:val="hybridMultilevel"/>
    <w:tmpl w:val="DFB6CB86"/>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45" w15:restartNumberingAfterBreak="0">
    <w:nsid w:val="74524902"/>
    <w:multiLevelType w:val="hybridMultilevel"/>
    <w:tmpl w:val="09E6FA5E"/>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46" w15:restartNumberingAfterBreak="0">
    <w:nsid w:val="760B4C27"/>
    <w:multiLevelType w:val="hybridMultilevel"/>
    <w:tmpl w:val="6AEEA1CE"/>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47" w15:restartNumberingAfterBreak="0">
    <w:nsid w:val="776B279A"/>
    <w:multiLevelType w:val="hybridMultilevel"/>
    <w:tmpl w:val="F6D4B84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8" w15:restartNumberingAfterBreak="0">
    <w:nsid w:val="79E505DE"/>
    <w:multiLevelType w:val="multilevel"/>
    <w:tmpl w:val="7E56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861702"/>
    <w:multiLevelType w:val="hybridMultilevel"/>
    <w:tmpl w:val="D3C007AC"/>
    <w:lvl w:ilvl="0" w:tplc="300A0003">
      <w:start w:val="1"/>
      <w:numFmt w:val="bullet"/>
      <w:lvlText w:val="o"/>
      <w:lvlJc w:val="left"/>
      <w:pPr>
        <w:ind w:left="1440" w:hanging="360"/>
      </w:pPr>
      <w:rPr>
        <w:rFonts w:ascii="Courier New" w:hAnsi="Courier New" w:cs="Courier New"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num w:numId="1" w16cid:durableId="1880628508">
    <w:abstractNumId w:val="17"/>
  </w:num>
  <w:num w:numId="2" w16cid:durableId="1716656988">
    <w:abstractNumId w:val="39"/>
  </w:num>
  <w:num w:numId="3" w16cid:durableId="73548935">
    <w:abstractNumId w:val="22"/>
  </w:num>
  <w:num w:numId="4" w16cid:durableId="1497648694">
    <w:abstractNumId w:val="13"/>
  </w:num>
  <w:num w:numId="5" w16cid:durableId="514925677">
    <w:abstractNumId w:val="10"/>
  </w:num>
  <w:num w:numId="6" w16cid:durableId="260182280">
    <w:abstractNumId w:val="11"/>
  </w:num>
  <w:num w:numId="7" w16cid:durableId="57558694">
    <w:abstractNumId w:val="6"/>
  </w:num>
  <w:num w:numId="8" w16cid:durableId="1776174383">
    <w:abstractNumId w:val="42"/>
  </w:num>
  <w:num w:numId="9" w16cid:durableId="585382448">
    <w:abstractNumId w:val="44"/>
  </w:num>
  <w:num w:numId="10" w16cid:durableId="1808815098">
    <w:abstractNumId w:val="37"/>
  </w:num>
  <w:num w:numId="11" w16cid:durableId="2145730536">
    <w:abstractNumId w:val="38"/>
  </w:num>
  <w:num w:numId="12" w16cid:durableId="300773334">
    <w:abstractNumId w:val="25"/>
  </w:num>
  <w:num w:numId="13" w16cid:durableId="269051348">
    <w:abstractNumId w:val="30"/>
  </w:num>
  <w:num w:numId="14" w16cid:durableId="1313411832">
    <w:abstractNumId w:val="46"/>
  </w:num>
  <w:num w:numId="15" w16cid:durableId="1876304778">
    <w:abstractNumId w:val="15"/>
  </w:num>
  <w:num w:numId="16" w16cid:durableId="1600479275">
    <w:abstractNumId w:val="7"/>
  </w:num>
  <w:num w:numId="17" w16cid:durableId="829832023">
    <w:abstractNumId w:val="3"/>
  </w:num>
  <w:num w:numId="18" w16cid:durableId="2127844215">
    <w:abstractNumId w:val="19"/>
  </w:num>
  <w:num w:numId="19" w16cid:durableId="706150864">
    <w:abstractNumId w:val="0"/>
  </w:num>
  <w:num w:numId="20" w16cid:durableId="1075513571">
    <w:abstractNumId w:val="14"/>
  </w:num>
  <w:num w:numId="21" w16cid:durableId="1159538258">
    <w:abstractNumId w:val="28"/>
  </w:num>
  <w:num w:numId="22" w16cid:durableId="1617954472">
    <w:abstractNumId w:val="49"/>
  </w:num>
  <w:num w:numId="23" w16cid:durableId="151258528">
    <w:abstractNumId w:val="40"/>
  </w:num>
  <w:num w:numId="24" w16cid:durableId="574512264">
    <w:abstractNumId w:val="12"/>
  </w:num>
  <w:num w:numId="25" w16cid:durableId="941767649">
    <w:abstractNumId w:val="35"/>
  </w:num>
  <w:num w:numId="26" w16cid:durableId="153038082">
    <w:abstractNumId w:val="33"/>
  </w:num>
  <w:num w:numId="27" w16cid:durableId="597830447">
    <w:abstractNumId w:val="43"/>
  </w:num>
  <w:num w:numId="28" w16cid:durableId="785386981">
    <w:abstractNumId w:val="21"/>
  </w:num>
  <w:num w:numId="29" w16cid:durableId="1427459356">
    <w:abstractNumId w:val="45"/>
  </w:num>
  <w:num w:numId="30" w16cid:durableId="1854682950">
    <w:abstractNumId w:val="18"/>
  </w:num>
  <w:num w:numId="31" w16cid:durableId="500897771">
    <w:abstractNumId w:val="27"/>
  </w:num>
  <w:num w:numId="32" w16cid:durableId="143276284">
    <w:abstractNumId w:val="8"/>
  </w:num>
  <w:num w:numId="33" w16cid:durableId="297303142">
    <w:abstractNumId w:val="29"/>
  </w:num>
  <w:num w:numId="34" w16cid:durableId="1163397816">
    <w:abstractNumId w:val="16"/>
  </w:num>
  <w:num w:numId="35" w16cid:durableId="176313604">
    <w:abstractNumId w:val="34"/>
  </w:num>
  <w:num w:numId="36" w16cid:durableId="1864439875">
    <w:abstractNumId w:val="24"/>
  </w:num>
  <w:num w:numId="37" w16cid:durableId="714542527">
    <w:abstractNumId w:val="48"/>
  </w:num>
  <w:num w:numId="38" w16cid:durableId="1113554099">
    <w:abstractNumId w:val="32"/>
  </w:num>
  <w:num w:numId="39" w16cid:durableId="551233922">
    <w:abstractNumId w:val="41"/>
  </w:num>
  <w:num w:numId="40" w16cid:durableId="821625303">
    <w:abstractNumId w:val="4"/>
  </w:num>
  <w:num w:numId="41" w16cid:durableId="1101684006">
    <w:abstractNumId w:val="20"/>
  </w:num>
  <w:num w:numId="42" w16cid:durableId="2008557903">
    <w:abstractNumId w:val="26"/>
  </w:num>
  <w:num w:numId="43" w16cid:durableId="1188523403">
    <w:abstractNumId w:val="36"/>
  </w:num>
  <w:num w:numId="44" w16cid:durableId="712391901">
    <w:abstractNumId w:val="23"/>
  </w:num>
  <w:num w:numId="45" w16cid:durableId="1293363698">
    <w:abstractNumId w:val="1"/>
  </w:num>
  <w:num w:numId="46" w16cid:durableId="906764580">
    <w:abstractNumId w:val="9"/>
  </w:num>
  <w:num w:numId="47" w16cid:durableId="933510335">
    <w:abstractNumId w:val="5"/>
  </w:num>
  <w:num w:numId="48" w16cid:durableId="1335910963">
    <w:abstractNumId w:val="31"/>
  </w:num>
  <w:num w:numId="49" w16cid:durableId="745764131">
    <w:abstractNumId w:val="2"/>
  </w:num>
  <w:num w:numId="50" w16cid:durableId="923952234">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6BE"/>
    <w:rsid w:val="00000714"/>
    <w:rsid w:val="00020D80"/>
    <w:rsid w:val="00022A4B"/>
    <w:rsid w:val="00023EFE"/>
    <w:rsid w:val="00036252"/>
    <w:rsid w:val="00052E60"/>
    <w:rsid w:val="000648E6"/>
    <w:rsid w:val="00080659"/>
    <w:rsid w:val="000822C6"/>
    <w:rsid w:val="000B4322"/>
    <w:rsid w:val="000B4B5B"/>
    <w:rsid w:val="000B59D9"/>
    <w:rsid w:val="000E02A9"/>
    <w:rsid w:val="000E0DB6"/>
    <w:rsid w:val="00110AB1"/>
    <w:rsid w:val="00120458"/>
    <w:rsid w:val="0012364F"/>
    <w:rsid w:val="00130F46"/>
    <w:rsid w:val="00137DF2"/>
    <w:rsid w:val="0016333B"/>
    <w:rsid w:val="00175C99"/>
    <w:rsid w:val="0018560C"/>
    <w:rsid w:val="001A6F2E"/>
    <w:rsid w:val="001B06D6"/>
    <w:rsid w:val="001B24DA"/>
    <w:rsid w:val="001B2B72"/>
    <w:rsid w:val="001B62B7"/>
    <w:rsid w:val="001C014D"/>
    <w:rsid w:val="001D20C5"/>
    <w:rsid w:val="001E7502"/>
    <w:rsid w:val="001F2E25"/>
    <w:rsid w:val="001F5C3B"/>
    <w:rsid w:val="0020767D"/>
    <w:rsid w:val="002227C5"/>
    <w:rsid w:val="00224DF0"/>
    <w:rsid w:val="00231F78"/>
    <w:rsid w:val="002375A1"/>
    <w:rsid w:val="00244983"/>
    <w:rsid w:val="00262A5E"/>
    <w:rsid w:val="00272360"/>
    <w:rsid w:val="002A7338"/>
    <w:rsid w:val="002B311E"/>
    <w:rsid w:val="002B5AB9"/>
    <w:rsid w:val="002C7C49"/>
    <w:rsid w:val="002D0188"/>
    <w:rsid w:val="002F7D2A"/>
    <w:rsid w:val="003002EA"/>
    <w:rsid w:val="00302342"/>
    <w:rsid w:val="00307F29"/>
    <w:rsid w:val="003252F3"/>
    <w:rsid w:val="0032566D"/>
    <w:rsid w:val="00330300"/>
    <w:rsid w:val="003400CE"/>
    <w:rsid w:val="00360C1E"/>
    <w:rsid w:val="003623B8"/>
    <w:rsid w:val="003629BF"/>
    <w:rsid w:val="00374495"/>
    <w:rsid w:val="003818A7"/>
    <w:rsid w:val="003856F6"/>
    <w:rsid w:val="00385931"/>
    <w:rsid w:val="003B0D2C"/>
    <w:rsid w:val="003D15C8"/>
    <w:rsid w:val="003D188C"/>
    <w:rsid w:val="003E2D4A"/>
    <w:rsid w:val="003F4261"/>
    <w:rsid w:val="00402C7F"/>
    <w:rsid w:val="0041405F"/>
    <w:rsid w:val="00415A2A"/>
    <w:rsid w:val="00420DE7"/>
    <w:rsid w:val="00426896"/>
    <w:rsid w:val="00435F78"/>
    <w:rsid w:val="00437D95"/>
    <w:rsid w:val="00440D98"/>
    <w:rsid w:val="0044164D"/>
    <w:rsid w:val="00464221"/>
    <w:rsid w:val="00464375"/>
    <w:rsid w:val="00484681"/>
    <w:rsid w:val="00490AD5"/>
    <w:rsid w:val="004A130C"/>
    <w:rsid w:val="004A3FBD"/>
    <w:rsid w:val="004B2FC4"/>
    <w:rsid w:val="004C1CBF"/>
    <w:rsid w:val="004E0DC8"/>
    <w:rsid w:val="004E4D16"/>
    <w:rsid w:val="004E5F01"/>
    <w:rsid w:val="004F39E4"/>
    <w:rsid w:val="005061C0"/>
    <w:rsid w:val="005252E7"/>
    <w:rsid w:val="0054255D"/>
    <w:rsid w:val="005548D9"/>
    <w:rsid w:val="00586328"/>
    <w:rsid w:val="00594710"/>
    <w:rsid w:val="005A46B6"/>
    <w:rsid w:val="005B13E4"/>
    <w:rsid w:val="005D48ED"/>
    <w:rsid w:val="005D5384"/>
    <w:rsid w:val="005E7A1F"/>
    <w:rsid w:val="005F2325"/>
    <w:rsid w:val="005F57FA"/>
    <w:rsid w:val="005F59AB"/>
    <w:rsid w:val="00612FFE"/>
    <w:rsid w:val="00613D24"/>
    <w:rsid w:val="0061644E"/>
    <w:rsid w:val="006265C0"/>
    <w:rsid w:val="00631EB4"/>
    <w:rsid w:val="00644157"/>
    <w:rsid w:val="00644C16"/>
    <w:rsid w:val="00663461"/>
    <w:rsid w:val="00664FAE"/>
    <w:rsid w:val="00666B06"/>
    <w:rsid w:val="006B5C48"/>
    <w:rsid w:val="006C11EF"/>
    <w:rsid w:val="006C5BA7"/>
    <w:rsid w:val="006C755C"/>
    <w:rsid w:val="006E0A42"/>
    <w:rsid w:val="0070790C"/>
    <w:rsid w:val="0071368C"/>
    <w:rsid w:val="00715824"/>
    <w:rsid w:val="00722E1F"/>
    <w:rsid w:val="007259D8"/>
    <w:rsid w:val="00726362"/>
    <w:rsid w:val="0073245B"/>
    <w:rsid w:val="0073353F"/>
    <w:rsid w:val="00734EF7"/>
    <w:rsid w:val="00735027"/>
    <w:rsid w:val="00750327"/>
    <w:rsid w:val="00761784"/>
    <w:rsid w:val="007655D7"/>
    <w:rsid w:val="0076741E"/>
    <w:rsid w:val="00771FB6"/>
    <w:rsid w:val="007777CD"/>
    <w:rsid w:val="00792743"/>
    <w:rsid w:val="00793C7B"/>
    <w:rsid w:val="007B42DC"/>
    <w:rsid w:val="007D020A"/>
    <w:rsid w:val="007E12B3"/>
    <w:rsid w:val="007E29C7"/>
    <w:rsid w:val="007E5359"/>
    <w:rsid w:val="007F5828"/>
    <w:rsid w:val="00802239"/>
    <w:rsid w:val="00807E58"/>
    <w:rsid w:val="00813608"/>
    <w:rsid w:val="0082410A"/>
    <w:rsid w:val="00832736"/>
    <w:rsid w:val="0087134F"/>
    <w:rsid w:val="008721A8"/>
    <w:rsid w:val="00890D70"/>
    <w:rsid w:val="00891A7A"/>
    <w:rsid w:val="008A11CF"/>
    <w:rsid w:val="008C5D94"/>
    <w:rsid w:val="008E7226"/>
    <w:rsid w:val="008F325C"/>
    <w:rsid w:val="008F4962"/>
    <w:rsid w:val="008F5BD5"/>
    <w:rsid w:val="009032CC"/>
    <w:rsid w:val="009173B2"/>
    <w:rsid w:val="00921A66"/>
    <w:rsid w:val="009272C9"/>
    <w:rsid w:val="0093476A"/>
    <w:rsid w:val="00937182"/>
    <w:rsid w:val="00937542"/>
    <w:rsid w:val="00944A06"/>
    <w:rsid w:val="00957663"/>
    <w:rsid w:val="009612F7"/>
    <w:rsid w:val="009625B9"/>
    <w:rsid w:val="00966E49"/>
    <w:rsid w:val="009670E3"/>
    <w:rsid w:val="009812A8"/>
    <w:rsid w:val="00984737"/>
    <w:rsid w:val="00994F86"/>
    <w:rsid w:val="009A4193"/>
    <w:rsid w:val="009F2DDF"/>
    <w:rsid w:val="00A107BA"/>
    <w:rsid w:val="00A26B12"/>
    <w:rsid w:val="00A31885"/>
    <w:rsid w:val="00A40285"/>
    <w:rsid w:val="00A40E4D"/>
    <w:rsid w:val="00A463BD"/>
    <w:rsid w:val="00A471AC"/>
    <w:rsid w:val="00A6248B"/>
    <w:rsid w:val="00AB3871"/>
    <w:rsid w:val="00AB572D"/>
    <w:rsid w:val="00AB6743"/>
    <w:rsid w:val="00AB6FBC"/>
    <w:rsid w:val="00AC0A82"/>
    <w:rsid w:val="00AC694A"/>
    <w:rsid w:val="00AD231D"/>
    <w:rsid w:val="00AD3628"/>
    <w:rsid w:val="00AE2F69"/>
    <w:rsid w:val="00B3250A"/>
    <w:rsid w:val="00B35AA9"/>
    <w:rsid w:val="00B36AF4"/>
    <w:rsid w:val="00B6094A"/>
    <w:rsid w:val="00B910F9"/>
    <w:rsid w:val="00B93477"/>
    <w:rsid w:val="00BB190B"/>
    <w:rsid w:val="00BC4C24"/>
    <w:rsid w:val="00BD7B8F"/>
    <w:rsid w:val="00BE050A"/>
    <w:rsid w:val="00BE0B95"/>
    <w:rsid w:val="00BE66A0"/>
    <w:rsid w:val="00BF6D8B"/>
    <w:rsid w:val="00C0547E"/>
    <w:rsid w:val="00C229AB"/>
    <w:rsid w:val="00C40A40"/>
    <w:rsid w:val="00C4467E"/>
    <w:rsid w:val="00C55638"/>
    <w:rsid w:val="00C6069D"/>
    <w:rsid w:val="00C60A04"/>
    <w:rsid w:val="00C60A57"/>
    <w:rsid w:val="00C8602A"/>
    <w:rsid w:val="00CA54D9"/>
    <w:rsid w:val="00CC16BE"/>
    <w:rsid w:val="00CC496B"/>
    <w:rsid w:val="00CD59FF"/>
    <w:rsid w:val="00CD7CB6"/>
    <w:rsid w:val="00CE45CA"/>
    <w:rsid w:val="00CF0D75"/>
    <w:rsid w:val="00CF2695"/>
    <w:rsid w:val="00CF4B01"/>
    <w:rsid w:val="00D00F71"/>
    <w:rsid w:val="00D26686"/>
    <w:rsid w:val="00D3330F"/>
    <w:rsid w:val="00D41336"/>
    <w:rsid w:val="00D41DE8"/>
    <w:rsid w:val="00D42D98"/>
    <w:rsid w:val="00D439B4"/>
    <w:rsid w:val="00D45413"/>
    <w:rsid w:val="00D500E9"/>
    <w:rsid w:val="00D5418E"/>
    <w:rsid w:val="00D56E0B"/>
    <w:rsid w:val="00D66FF1"/>
    <w:rsid w:val="00D72FE8"/>
    <w:rsid w:val="00D842F3"/>
    <w:rsid w:val="00D91006"/>
    <w:rsid w:val="00DA5B67"/>
    <w:rsid w:val="00DA79A9"/>
    <w:rsid w:val="00DB1811"/>
    <w:rsid w:val="00DD2E9E"/>
    <w:rsid w:val="00DE01A4"/>
    <w:rsid w:val="00DF67E5"/>
    <w:rsid w:val="00E15588"/>
    <w:rsid w:val="00E3102B"/>
    <w:rsid w:val="00E4183E"/>
    <w:rsid w:val="00E57237"/>
    <w:rsid w:val="00E64489"/>
    <w:rsid w:val="00E6638D"/>
    <w:rsid w:val="00E90ADE"/>
    <w:rsid w:val="00E918BA"/>
    <w:rsid w:val="00E91FD5"/>
    <w:rsid w:val="00EB143D"/>
    <w:rsid w:val="00EB78B7"/>
    <w:rsid w:val="00EC2719"/>
    <w:rsid w:val="00ED1C52"/>
    <w:rsid w:val="00EE1034"/>
    <w:rsid w:val="00EE40D4"/>
    <w:rsid w:val="00EF0258"/>
    <w:rsid w:val="00EF24D0"/>
    <w:rsid w:val="00F0440C"/>
    <w:rsid w:val="00F10DB8"/>
    <w:rsid w:val="00F169D0"/>
    <w:rsid w:val="00F3008E"/>
    <w:rsid w:val="00F4290F"/>
    <w:rsid w:val="00F639E0"/>
    <w:rsid w:val="00F65721"/>
    <w:rsid w:val="00F71261"/>
    <w:rsid w:val="00F83286"/>
    <w:rsid w:val="00F863A6"/>
    <w:rsid w:val="00F91698"/>
    <w:rsid w:val="00FA2797"/>
    <w:rsid w:val="00FB04F6"/>
    <w:rsid w:val="00FC343F"/>
    <w:rsid w:val="00FC6210"/>
    <w:rsid w:val="00FD6807"/>
    <w:rsid w:val="00FE2787"/>
    <w:rsid w:val="00FE582B"/>
    <w:rsid w:val="00FE5E7D"/>
    <w:rsid w:val="00FF6DC3"/>
    <w:rsid w:val="0195C684"/>
    <w:rsid w:val="03E43687"/>
    <w:rsid w:val="04893A9F"/>
    <w:rsid w:val="0504AAA3"/>
    <w:rsid w:val="074C17A1"/>
    <w:rsid w:val="09868F83"/>
    <w:rsid w:val="0A4AE000"/>
    <w:rsid w:val="0AF5B6D6"/>
    <w:rsid w:val="0B19E3B5"/>
    <w:rsid w:val="0D28F3F8"/>
    <w:rsid w:val="0D56630D"/>
    <w:rsid w:val="102920A2"/>
    <w:rsid w:val="17E88B75"/>
    <w:rsid w:val="18981DF7"/>
    <w:rsid w:val="18D6F246"/>
    <w:rsid w:val="18EA95DB"/>
    <w:rsid w:val="19C4186B"/>
    <w:rsid w:val="1A131CCE"/>
    <w:rsid w:val="28CF15F8"/>
    <w:rsid w:val="2BE8130B"/>
    <w:rsid w:val="2C7E6D11"/>
    <w:rsid w:val="2D4D622D"/>
    <w:rsid w:val="2EAF5E51"/>
    <w:rsid w:val="303FBAFC"/>
    <w:rsid w:val="315D710A"/>
    <w:rsid w:val="328ED803"/>
    <w:rsid w:val="32FAEB6F"/>
    <w:rsid w:val="3470F4F8"/>
    <w:rsid w:val="366FD192"/>
    <w:rsid w:val="3936B701"/>
    <w:rsid w:val="3BF8E670"/>
    <w:rsid w:val="3D7868EA"/>
    <w:rsid w:val="4024C3BA"/>
    <w:rsid w:val="4034897F"/>
    <w:rsid w:val="4274FD9D"/>
    <w:rsid w:val="465C4A4A"/>
    <w:rsid w:val="46A40AC4"/>
    <w:rsid w:val="47FF2E52"/>
    <w:rsid w:val="49D590D6"/>
    <w:rsid w:val="4B79E65C"/>
    <w:rsid w:val="4C7F3D45"/>
    <w:rsid w:val="4DE00BCA"/>
    <w:rsid w:val="4F6282E4"/>
    <w:rsid w:val="52755B1F"/>
    <w:rsid w:val="54306CD4"/>
    <w:rsid w:val="54BFECDC"/>
    <w:rsid w:val="56AF0059"/>
    <w:rsid w:val="56B95987"/>
    <w:rsid w:val="5E077BE2"/>
    <w:rsid w:val="5E7F35A1"/>
    <w:rsid w:val="60EFF7C0"/>
    <w:rsid w:val="62014E54"/>
    <w:rsid w:val="6215348A"/>
    <w:rsid w:val="6462545D"/>
    <w:rsid w:val="6B5E267A"/>
    <w:rsid w:val="70D3A382"/>
    <w:rsid w:val="71179AB9"/>
    <w:rsid w:val="71D02FB0"/>
    <w:rsid w:val="73FB1352"/>
    <w:rsid w:val="752267BD"/>
    <w:rsid w:val="7F1F9831"/>
  </w:rsids>
  <m:mathPr>
    <m:mathFont m:val="Cambria Math"/>
    <m:brkBin m:val="before"/>
    <m:brkBinSub m:val="--"/>
    <m:smallFrac m:val="0"/>
    <m:dispDef/>
    <m:lMargin m:val="0"/>
    <m:rMargin m:val="0"/>
    <m:defJc m:val="centerGroup"/>
    <m:wrapIndent m:val="1440"/>
    <m:intLim m:val="subSup"/>
    <m:naryLim m:val="undOvr"/>
  </m:mathPr>
  <w:themeFontLang w:val="es-EC"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127645"/>
  <w15:docId w15:val="{3AAC128D-93B5-48FB-B046-A6B5175A7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C"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16BE"/>
    <w:pPr>
      <w:tabs>
        <w:tab w:val="center" w:pos="4419"/>
        <w:tab w:val="right" w:pos="8838"/>
      </w:tabs>
    </w:pPr>
  </w:style>
  <w:style w:type="character" w:customStyle="1" w:styleId="EncabezadoCar">
    <w:name w:val="Encabezado Car"/>
    <w:basedOn w:val="Fuentedeprrafopredeter"/>
    <w:link w:val="Encabezado"/>
    <w:uiPriority w:val="99"/>
    <w:rsid w:val="00CC16BE"/>
  </w:style>
  <w:style w:type="paragraph" w:styleId="Piedepgina">
    <w:name w:val="footer"/>
    <w:basedOn w:val="Normal"/>
    <w:link w:val="PiedepginaCar"/>
    <w:uiPriority w:val="99"/>
    <w:unhideWhenUsed/>
    <w:rsid w:val="00CC16BE"/>
    <w:pPr>
      <w:tabs>
        <w:tab w:val="center" w:pos="4419"/>
        <w:tab w:val="right" w:pos="8838"/>
      </w:tabs>
    </w:pPr>
  </w:style>
  <w:style w:type="character" w:customStyle="1" w:styleId="PiedepginaCar">
    <w:name w:val="Pie de página Car"/>
    <w:basedOn w:val="Fuentedeprrafopredeter"/>
    <w:link w:val="Piedepgina"/>
    <w:uiPriority w:val="99"/>
    <w:rsid w:val="00CC16BE"/>
  </w:style>
  <w:style w:type="character" w:styleId="Fuerte">
    <w:name w:val="Strong"/>
    <w:basedOn w:val="Fuentedeprrafopredeter"/>
    <w:uiPriority w:val="22"/>
    <w:qFormat/>
    <w:rsid w:val="00CC16BE"/>
    <w:rPr>
      <w:b/>
      <w:bCs/>
    </w:rPr>
  </w:style>
  <w:style w:type="paragraph" w:styleId="Textodeglobo">
    <w:name w:val="Balloon Text"/>
    <w:basedOn w:val="Normal"/>
    <w:link w:val="TextodegloboCar"/>
    <w:uiPriority w:val="99"/>
    <w:semiHidden/>
    <w:unhideWhenUsed/>
    <w:rsid w:val="00937182"/>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937182"/>
    <w:rPr>
      <w:rFonts w:ascii="Lucida Grande" w:hAnsi="Lucida Grande"/>
      <w:sz w:val="18"/>
      <w:szCs w:val="18"/>
    </w:rPr>
  </w:style>
  <w:style w:type="paragraph" w:styleId="Prrafodelista">
    <w:name w:val="List Paragraph"/>
    <w:basedOn w:val="Normal"/>
    <w:uiPriority w:val="34"/>
    <w:qFormat/>
    <w:rsid w:val="00594710"/>
    <w:pPr>
      <w:ind w:left="720"/>
      <w:contextualSpacing/>
    </w:pPr>
  </w:style>
  <w:style w:type="character" w:styleId="Hipervnculo">
    <w:name w:val="Hyperlink"/>
    <w:basedOn w:val="Fuentedeprrafopredeter"/>
    <w:uiPriority w:val="99"/>
    <w:unhideWhenUsed/>
    <w:rsid w:val="00FE2787"/>
    <w:rPr>
      <w:color w:val="0563C1" w:themeColor="hyperlink"/>
      <w:u w:val="single"/>
    </w:rPr>
  </w:style>
  <w:style w:type="character" w:styleId="Mencinsinresolver">
    <w:name w:val="Unresolved Mention"/>
    <w:basedOn w:val="Fuentedeprrafopredeter"/>
    <w:uiPriority w:val="99"/>
    <w:semiHidden/>
    <w:unhideWhenUsed/>
    <w:rsid w:val="00FE2787"/>
    <w:rPr>
      <w:color w:val="605E5C"/>
      <w:shd w:val="clear" w:color="auto" w:fill="E1DFDD"/>
    </w:rPr>
  </w:style>
  <w:style w:type="character" w:styleId="Refdecomentario">
    <w:name w:val="annotation reference"/>
    <w:basedOn w:val="Fuentedeprrafopredeter"/>
    <w:uiPriority w:val="99"/>
    <w:semiHidden/>
    <w:unhideWhenUsed/>
    <w:rsid w:val="00937542"/>
    <w:rPr>
      <w:sz w:val="16"/>
      <w:szCs w:val="16"/>
    </w:rPr>
  </w:style>
  <w:style w:type="paragraph" w:styleId="Textocomentario">
    <w:name w:val="annotation text"/>
    <w:basedOn w:val="Normal"/>
    <w:link w:val="TextocomentarioCar"/>
    <w:uiPriority w:val="99"/>
    <w:unhideWhenUsed/>
    <w:rsid w:val="00937542"/>
    <w:rPr>
      <w:sz w:val="20"/>
      <w:szCs w:val="20"/>
    </w:rPr>
  </w:style>
  <w:style w:type="character" w:customStyle="1" w:styleId="TextocomentarioCar">
    <w:name w:val="Texto comentario Car"/>
    <w:basedOn w:val="Fuentedeprrafopredeter"/>
    <w:link w:val="Textocomentario"/>
    <w:uiPriority w:val="99"/>
    <w:rsid w:val="00937542"/>
    <w:rPr>
      <w:sz w:val="20"/>
      <w:szCs w:val="20"/>
    </w:rPr>
  </w:style>
  <w:style w:type="paragraph" w:styleId="Asuntodelcomentario">
    <w:name w:val="annotation subject"/>
    <w:basedOn w:val="Textocomentario"/>
    <w:next w:val="Textocomentario"/>
    <w:link w:val="AsuntodelcomentarioCar"/>
    <w:uiPriority w:val="99"/>
    <w:semiHidden/>
    <w:unhideWhenUsed/>
    <w:rsid w:val="00937542"/>
    <w:rPr>
      <w:b/>
      <w:bCs/>
    </w:rPr>
  </w:style>
  <w:style w:type="character" w:customStyle="1" w:styleId="AsuntodelcomentarioCar">
    <w:name w:val="Asunto del comentario Car"/>
    <w:basedOn w:val="TextocomentarioCar"/>
    <w:link w:val="Asuntodelcomentario"/>
    <w:uiPriority w:val="99"/>
    <w:semiHidden/>
    <w:rsid w:val="00937542"/>
    <w:rPr>
      <w:b/>
      <w:bCs/>
      <w:sz w:val="20"/>
      <w:szCs w:val="20"/>
    </w:rPr>
  </w:style>
  <w:style w:type="paragraph" w:styleId="NormalWeb">
    <w:name w:val="Normal (Web)"/>
    <w:basedOn w:val="Normal"/>
    <w:uiPriority w:val="99"/>
    <w:semiHidden/>
    <w:unhideWhenUsed/>
    <w:rsid w:val="0093476A"/>
    <w:rPr>
      <w:rFonts w:ascii="Times New Roman" w:hAnsi="Times New Roman" w:cs="Times New Roman"/>
    </w:rPr>
  </w:style>
  <w:style w:type="character" w:styleId="Hipervnculovisitado">
    <w:name w:val="FollowedHyperlink"/>
    <w:basedOn w:val="Fuentedeprrafopredeter"/>
    <w:uiPriority w:val="99"/>
    <w:semiHidden/>
    <w:unhideWhenUsed/>
    <w:rsid w:val="0093476A"/>
    <w:rPr>
      <w:color w:val="954F72" w:themeColor="followedHyperlink"/>
      <w:u w:val="single"/>
    </w:rPr>
  </w:style>
  <w:style w:type="paragraph" w:styleId="Revisin">
    <w:name w:val="Revision"/>
    <w:hidden/>
    <w:uiPriority w:val="99"/>
    <w:semiHidden/>
    <w:rsid w:val="00957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9/05/relationships/documenttasks" Target="documenttasks/documenttasks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F2623AF-8D13-44A8-9FFA-D9DFF3EA93C2}">
    <t:Anchor>
      <t:Comment id="535362732"/>
    </t:Anchor>
    <t:History>
      <t:Event id="{56392A1F-93CB-48E1-8499-BB79E55CF3C6}" time="2026-09-26T15:04:46.051Z">
        <t:Attribution userId="S::srobles@conquito.org.ec::4dd3bb28-e419-4385-a486-76a3fc223e5a" userProvider="AD" userName="Sandra Elizabeth Robles Escobar"/>
        <t:Anchor>
          <t:Comment id="535362732"/>
        </t:Anchor>
        <t:Create/>
      </t:Event>
      <t:Event id="{EE509C83-FF61-48FE-AEFE-E53535E5AB55}" time="2026-09-26T15:04:46.051Z">
        <t:Attribution userId="S::srobles@conquito.org.ec::4dd3bb28-e419-4385-a486-76a3fc223e5a" userProvider="AD" userName="Sandra Elizabeth Robles Escobar"/>
        <t:Anchor>
          <t:Comment id="535362732"/>
        </t:Anchor>
        <t:Assign userId="S::dchavez.cti@conquito.org.ec::989691d7-8c00-4f4c-b4aa-06426dbdf45d" userProvider="AD" userName="Diana Margarita Chávez Reyes"/>
      </t:Event>
      <t:Event id="{412E1CEC-4CDA-4C8D-94E4-C65319655239}" time="2026-09-26T15:04:46.051Z">
        <t:Attribution userId="S::srobles@conquito.org.ec::4dd3bb28-e419-4385-a486-76a3fc223e5a" userProvider="AD" userName="Sandra Elizabeth Robles Escobar"/>
        <t:Anchor>
          <t:Comment id="535362732"/>
        </t:Anchor>
        <t:SetTitle title="@Diana Margarita Chávez ReyesModificar conforme la observación realizada en las bases."/>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e0a132-d5bc-4e92-9612-f29f13cd1a8d">
      <Terms xmlns="http://schemas.microsoft.com/office/infopath/2007/PartnerControls"/>
    </lcf76f155ced4ddcb4097134ff3c332f>
    <TaxCatchAll xmlns="f8585d77-cb5b-40a2-9c4b-29b7aa4896d3" xsi:nil="true"/>
    <Aprobado xmlns="27e0a132-d5bc-4e92-9612-f29f13cd1a8d">true</Aprobado>
    <C_x00f3_digoproyecto xmlns="27e0a132-d5bc-4e92-9612-f29f13cd1a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B826F45034DA74D80239945691F94A3" ma:contentTypeVersion="21" ma:contentTypeDescription="Crear nuevo documento." ma:contentTypeScope="" ma:versionID="af8d591ca3c88f7074ac681cf4c35732">
  <xsd:schema xmlns:xsd="http://www.w3.org/2001/XMLSchema" xmlns:xs="http://www.w3.org/2001/XMLSchema" xmlns:p="http://schemas.microsoft.com/office/2006/metadata/properties" xmlns:ns2="27e0a132-d5bc-4e92-9612-f29f13cd1a8d" xmlns:ns3="f8585d77-cb5b-40a2-9c4b-29b7aa4896d3" targetNamespace="http://schemas.microsoft.com/office/2006/metadata/properties" ma:root="true" ma:fieldsID="2e73e7759d90cf64de47a9a7c53eb738" ns2:_="" ns3:_="">
    <xsd:import namespace="27e0a132-d5bc-4e92-9612-f29f13cd1a8d"/>
    <xsd:import namespace="f8585d77-cb5b-40a2-9c4b-29b7aa4896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C_x00f3_digoproyecto" minOccurs="0"/>
                <xsd:element ref="ns2:Aprobad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e0a132-d5bc-4e92-9612-f29f13cd1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71712d81-1049-42d3-b20e-dc7420d4eee7"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_x00f3_digoproyecto" ma:index="26" nillable="true" ma:displayName="Código proyecto" ma:description="Documento con código del proyecto POA" ma:format="Dropdown" ma:internalName="C_x00f3_digoproyecto">
      <xsd:simpleType>
        <xsd:restriction base="dms:Text">
          <xsd:maxLength value="255"/>
        </xsd:restriction>
      </xsd:simpleType>
    </xsd:element>
    <xsd:element name="Aprobado" ma:index="27" nillable="true" ma:displayName="Aprobado" ma:default="1" ma:format="Dropdown" ma:internalName="Aprobado">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585d77-cb5b-40a2-9c4b-29b7aa4896d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f1e1f3ba-1a85-4f42-88d3-51536b36ef12}" ma:internalName="TaxCatchAll" ma:showField="CatchAllData" ma:web="f8585d77-cb5b-40a2-9c4b-29b7aa4896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E545E5-2E46-4AD4-9193-3E46DB7C25A3}">
  <ds:schemaRefs>
    <ds:schemaRef ds:uri="http://schemas.microsoft.com/office/2006/metadata/properties"/>
    <ds:schemaRef ds:uri="http://schemas.microsoft.com/office/infopath/2007/PartnerControls"/>
    <ds:schemaRef ds:uri="27e0a132-d5bc-4e92-9612-f29f13cd1a8d"/>
    <ds:schemaRef ds:uri="f8585d77-cb5b-40a2-9c4b-29b7aa4896d3"/>
  </ds:schemaRefs>
</ds:datastoreItem>
</file>

<file path=customXml/itemProps2.xml><?xml version="1.0" encoding="utf-8"?>
<ds:datastoreItem xmlns:ds="http://schemas.openxmlformats.org/officeDocument/2006/customXml" ds:itemID="{5FC19857-82ED-4244-BD32-4BAB0CF2B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e0a132-d5bc-4e92-9612-f29f13cd1a8d"/>
    <ds:schemaRef ds:uri="f8585d77-cb5b-40a2-9c4b-29b7aa4896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1DDC21-E6B4-43B0-ACF2-88DBAC43F1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2342</Words>
  <Characters>12882</Characters>
  <Application>Microsoft Office Word</Application>
  <DocSecurity>0</DocSecurity>
  <Lines>107</Lines>
  <Paragraphs>30</Paragraphs>
  <ScaleCrop>false</ScaleCrop>
  <Company/>
  <LinksUpToDate>false</LinksUpToDate>
  <CharactersWithSpaces>15194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Mariuxi Nathaly Garcia Pereira</cp:lastModifiedBy>
  <cp:revision>8</cp:revision>
  <cp:lastPrinted>2025-01-27T17:15:00Z</cp:lastPrinted>
  <dcterms:created xsi:type="dcterms:W3CDTF">2026-09-18T16:42:00Z</dcterms:created>
  <dcterms:modified xsi:type="dcterms:W3CDTF">2026-10-06T15:28:00Z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0x010100DB826F45034DA74D80239945691F94A3</vt:lpwstr>
  </property>
  <property fmtid="{D5CDD505-2E9C-101B-9397-08002B2CF9AE}" pid="3" name="MediaServiceImageTags">
    <vt:lpwstr/>
  </property>
</Properties>
</file>